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ind w:firstLine="562"/>
        <w:jc w:val="center"/>
        <w:outlineLvl w:val="0"/>
        <w:rPr>
          <w:rFonts w:cs="Times New Roman" w:asciiTheme="minorEastAsia" w:hAnsiTheme="minorEastAsia"/>
          <w:b/>
          <w:bCs/>
          <w:iCs/>
          <w:sz w:val="28"/>
          <w:szCs w:val="32"/>
        </w:rPr>
      </w:pPr>
      <w:r>
        <w:rPr>
          <w:rFonts w:hint="eastAsia" w:cs="Times New Roman" w:asciiTheme="minorEastAsia" w:hAnsiTheme="minorEastAsia"/>
          <w:b/>
          <w:bCs/>
          <w:iCs/>
          <w:color w:val="000000"/>
          <w:sz w:val="28"/>
          <w:szCs w:val="32"/>
        </w:rPr>
        <w:t>中国高校产学研创新基金―科大讯飞高校</w:t>
      </w:r>
      <w:r>
        <w:rPr>
          <w:rFonts w:hint="eastAsia" w:cs="Times New Roman" w:asciiTheme="minorEastAsia" w:hAnsiTheme="minorEastAsia"/>
          <w:b/>
          <w:bCs/>
          <w:iCs/>
          <w:sz w:val="28"/>
          <w:szCs w:val="32"/>
        </w:rPr>
        <w:t>创新研究专项（二期）</w:t>
      </w:r>
    </w:p>
    <w:p>
      <w:pPr>
        <w:spacing w:after="312" w:afterLines="100" w:line="520" w:lineRule="exact"/>
        <w:ind w:firstLine="562"/>
        <w:jc w:val="center"/>
        <w:rPr>
          <w:rFonts w:asciiTheme="minorEastAsia" w:hAnsiTheme="minorEastAsia"/>
          <w:b/>
          <w:sz w:val="28"/>
        </w:rPr>
      </w:pPr>
      <w:r>
        <w:rPr>
          <w:rFonts w:hint="eastAsia" w:asciiTheme="minorEastAsia" w:hAnsiTheme="minorEastAsia"/>
          <w:b/>
          <w:sz w:val="28"/>
        </w:rPr>
        <w:t>申请指南说明</w:t>
      </w:r>
    </w:p>
    <w:p>
      <w:pPr>
        <w:snapToGrid w:val="0"/>
        <w:spacing w:line="520" w:lineRule="exact"/>
        <w:ind w:firstLine="480" w:firstLineChars="200"/>
        <w:rPr>
          <w:rFonts w:ascii="宋体" w:hAnsi="宋体" w:eastAsia="宋体"/>
          <w:color w:val="000000" w:themeColor="text1"/>
          <w:sz w:val="24"/>
          <w:szCs w:val="28"/>
          <w14:textFill>
            <w14:solidFill>
              <w14:schemeClr w14:val="tx1"/>
            </w14:solidFill>
          </w14:textFill>
        </w:rPr>
      </w:pPr>
      <w:r>
        <w:rPr>
          <w:rFonts w:hint="eastAsia" w:ascii="宋体" w:hAnsi="宋体" w:eastAsia="宋体"/>
          <w:sz w:val="24"/>
        </w:rPr>
        <w:t>根据 《关于申报202</w:t>
      </w:r>
      <w:r>
        <w:rPr>
          <w:rFonts w:ascii="宋体" w:hAnsi="宋体" w:eastAsia="宋体"/>
          <w:sz w:val="24"/>
        </w:rPr>
        <w:t>4</w:t>
      </w:r>
      <w:r>
        <w:rPr>
          <w:rFonts w:hint="eastAsia" w:ascii="宋体" w:hAnsi="宋体" w:eastAsia="宋体"/>
          <w:sz w:val="24"/>
        </w:rPr>
        <w:t>年中国高校产学研创新基金的通知》</w:t>
      </w:r>
      <w:r>
        <w:rPr>
          <w:rFonts w:hint="eastAsia" w:ascii="宋体" w:hAnsi="宋体" w:eastAsia="宋体"/>
          <w:color w:val="000000" w:themeColor="text1"/>
          <w:sz w:val="24"/>
          <w14:textFill>
            <w14:solidFill>
              <w14:schemeClr w14:val="tx1"/>
            </w14:solidFill>
          </w14:textFill>
        </w:rPr>
        <w:t>（教科发中心函〔202</w:t>
      </w:r>
      <w:r>
        <w:rPr>
          <w:rFonts w:ascii="宋体" w:hAnsi="宋体" w:eastAsia="宋体"/>
          <w:color w:val="000000" w:themeColor="text1"/>
          <w:sz w:val="24"/>
          <w14:textFill>
            <w14:solidFill>
              <w14:schemeClr w14:val="tx1"/>
            </w14:solidFill>
          </w14:textFill>
        </w:rPr>
        <w:t>4</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1</w:t>
      </w:r>
      <w:r>
        <w:rPr>
          <w:rFonts w:hint="eastAsia" w:ascii="宋体" w:hAnsi="宋体" w:eastAsia="宋体"/>
          <w:color w:val="000000" w:themeColor="text1"/>
          <w:sz w:val="24"/>
          <w14:textFill>
            <w14:solidFill>
              <w14:schemeClr w14:val="tx1"/>
            </w14:solidFill>
          </w14:textFill>
        </w:rPr>
        <w:t>号)的相关要求</w:t>
      </w:r>
      <w:r>
        <w:rPr>
          <w:rFonts w:hint="eastAsia" w:ascii="宋体" w:hAnsi="宋体" w:eastAsia="宋体"/>
          <w:color w:val="000000" w:themeColor="text1"/>
          <w:sz w:val="24"/>
          <w:szCs w:val="28"/>
          <w14:textFill>
            <w14:solidFill>
              <w14:schemeClr w14:val="tx1"/>
            </w14:solidFill>
          </w14:textFill>
        </w:rPr>
        <w:t>，教育部高等学校科学研究发展中心与科大讯飞股份有限公司联合设立“中国高校产学研创新基金-科大讯飞高校创新研究专项（二期）”，支持高校将人工智能技术与教育深度融合，推动高校教育数字化转型和高质量发展。</w:t>
      </w:r>
    </w:p>
    <w:p>
      <w:pPr>
        <w:snapToGrid w:val="0"/>
        <w:spacing w:line="520" w:lineRule="exact"/>
        <w:ind w:firstLine="562" w:firstLineChars="200"/>
        <w:rPr>
          <w:rFonts w:ascii="黑体" w:hAnsi="黑体" w:eastAsia="黑体"/>
          <w:color w:val="000000" w:themeColor="text1"/>
          <w14:textFill>
            <w14:solidFill>
              <w14:schemeClr w14:val="tx1"/>
            </w14:solidFill>
          </w14:textFill>
        </w:rPr>
      </w:pPr>
      <w:r>
        <w:rPr>
          <w:rFonts w:hint="eastAsia" w:ascii="黑体" w:hAnsi="黑体" w:eastAsia="黑体" w:cs="微软雅黑"/>
          <w:b/>
          <w:bCs/>
          <w:sz w:val="28"/>
          <w:szCs w:val="32"/>
        </w:rPr>
        <w:t>一、课题说明</w:t>
      </w:r>
    </w:p>
    <w:p>
      <w:pPr>
        <w:snapToGrid w:val="0"/>
        <w:spacing w:line="520" w:lineRule="exact"/>
        <w:ind w:firstLine="480" w:firstLineChars="200"/>
        <w:rPr>
          <w:rFonts w:asciiTheme="minorEastAsia" w:hAnsiTheme="minorEastAsia"/>
          <w:color w:val="000000" w:themeColor="text1"/>
          <w:sz w:val="24"/>
          <w:szCs w:val="28"/>
          <w14:textFill>
            <w14:solidFill>
              <w14:schemeClr w14:val="tx1"/>
            </w14:solidFill>
          </w14:textFill>
        </w:rPr>
      </w:pPr>
      <w:r>
        <w:rPr>
          <w:rFonts w:hint="eastAsia" w:asciiTheme="minorEastAsia" w:hAnsiTheme="minorEastAsia"/>
          <w:color w:val="000000" w:themeColor="text1"/>
          <w:sz w:val="24"/>
          <w:szCs w:val="28"/>
          <w14:textFill>
            <w14:solidFill>
              <w14:schemeClr w14:val="tx1"/>
            </w14:solidFill>
          </w14:textFill>
        </w:rPr>
        <w:t>1.“科大讯飞高校创新研究专项（二期）”旨在促进高校充分利用以大模型为代表的人工智能技术，赋能人才培养、教学改革、师生服务、科研创新等方面，促进高等教育变革，提升人才培养质量。</w:t>
      </w:r>
    </w:p>
    <w:p>
      <w:pPr>
        <w:snapToGrid w:val="0"/>
        <w:spacing w:line="520" w:lineRule="exact"/>
        <w:ind w:firstLine="480" w:firstLineChars="200"/>
        <w:rPr>
          <w:rFonts w:asciiTheme="minorEastAsia" w:hAnsiTheme="minorEastAsia"/>
          <w:sz w:val="24"/>
          <w:szCs w:val="28"/>
        </w:rPr>
      </w:pPr>
      <w:r>
        <w:rPr>
          <w:rFonts w:hint="eastAsia" w:asciiTheme="minorEastAsia" w:hAnsiTheme="minorEastAsia"/>
          <w:color w:val="000000" w:themeColor="text1"/>
          <w:sz w:val="24"/>
          <w:szCs w:val="28"/>
          <w:lang w:val="en-US" w:eastAsia="zh-CN"/>
          <w14:textFill>
            <w14:solidFill>
              <w14:schemeClr w14:val="tx1"/>
            </w14:solidFill>
          </w14:textFill>
        </w:rPr>
        <w:t>2</w:t>
      </w:r>
      <w:r>
        <w:rPr>
          <w:rFonts w:hint="eastAsia" w:asciiTheme="minorEastAsia" w:hAnsiTheme="minorEastAsia"/>
          <w:color w:val="000000" w:themeColor="text1"/>
          <w:sz w:val="24"/>
          <w:szCs w:val="28"/>
          <w14:textFill>
            <w14:solidFill>
              <w14:schemeClr w14:val="tx1"/>
            </w14:solidFill>
          </w14:textFill>
        </w:rPr>
        <w:t>.“科大讯飞高校创新研究专项（二期）”</w:t>
      </w:r>
      <w:r>
        <w:rPr>
          <w:rFonts w:hint="eastAsia" w:asciiTheme="minorEastAsia" w:hAnsiTheme="minorEastAsia"/>
          <w:sz w:val="24"/>
          <w:szCs w:val="28"/>
        </w:rPr>
        <w:t>为每个立项课题提供</w:t>
      </w:r>
      <w:r>
        <w:rPr>
          <w:rFonts w:asciiTheme="minorEastAsia" w:hAnsiTheme="minorEastAsia"/>
          <w:sz w:val="24"/>
          <w:szCs w:val="28"/>
        </w:rPr>
        <w:t>1</w:t>
      </w:r>
      <w:r>
        <w:rPr>
          <w:rFonts w:hint="eastAsia" w:asciiTheme="minorEastAsia" w:hAnsiTheme="minorEastAsia"/>
          <w:sz w:val="24"/>
          <w:szCs w:val="28"/>
        </w:rPr>
        <w:t>0万元至50万元的研究经费及科研软硬件平台支持，</w:t>
      </w:r>
      <w:r>
        <w:rPr>
          <w:rFonts w:hint="eastAsia" w:ascii="宋体" w:hAnsi="宋体" w:eastAsia="宋体"/>
          <w:color w:val="000000" w:themeColor="text1"/>
          <w:sz w:val="24"/>
          <w14:textFill>
            <w14:solidFill>
              <w14:schemeClr w14:val="tx1"/>
            </w14:solidFill>
          </w14:textFill>
        </w:rPr>
        <w:t>其中研究经费5万元至</w:t>
      </w:r>
      <w:r>
        <w:rPr>
          <w:rFonts w:ascii="宋体" w:hAnsi="宋体" w:eastAsia="宋体"/>
          <w:color w:val="000000" w:themeColor="text1"/>
          <w:sz w:val="24"/>
          <w14:textFill>
            <w14:solidFill>
              <w14:schemeClr w14:val="tx1"/>
            </w14:solidFill>
          </w14:textFill>
        </w:rPr>
        <w:t>25</w:t>
      </w:r>
      <w:r>
        <w:rPr>
          <w:rFonts w:hint="eastAsia" w:ascii="宋体" w:hAnsi="宋体" w:eastAsia="宋体"/>
          <w:color w:val="000000" w:themeColor="text1"/>
          <w:sz w:val="24"/>
          <w14:textFill>
            <w14:solidFill>
              <w14:schemeClr w14:val="tx1"/>
            </w14:solidFill>
          </w14:textFill>
        </w:rPr>
        <w:t>万元</w:t>
      </w:r>
      <w:r>
        <w:rPr>
          <w:rFonts w:hint="eastAsia" w:asciiTheme="minorEastAsia" w:hAnsiTheme="minorEastAsia"/>
          <w:color w:val="000000" w:themeColor="text1"/>
          <w:sz w:val="24"/>
          <w:szCs w:val="28"/>
          <w14:textFill>
            <w14:solidFill>
              <w14:schemeClr w14:val="tx1"/>
            </w14:solidFill>
          </w14:textFill>
        </w:rPr>
        <w:t>。</w:t>
      </w:r>
    </w:p>
    <w:p>
      <w:pPr>
        <w:snapToGrid w:val="0"/>
        <w:spacing w:line="520" w:lineRule="exact"/>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sz w:val="24"/>
          <w:szCs w:val="28"/>
          <w:lang w:val="en-US" w:eastAsia="zh-CN"/>
        </w:rPr>
        <w:t>3</w:t>
      </w:r>
      <w:r>
        <w:rPr>
          <w:rFonts w:asciiTheme="minorEastAsia" w:hAnsiTheme="minorEastAsia"/>
          <w:sz w:val="24"/>
          <w:szCs w:val="28"/>
        </w:rPr>
        <w:t>.</w:t>
      </w:r>
      <w:r>
        <w:rPr>
          <w:rFonts w:hint="eastAsia" w:asciiTheme="minorEastAsia" w:hAnsiTheme="minorEastAsia"/>
          <w:color w:val="000000" w:themeColor="text1"/>
          <w:sz w:val="24"/>
          <w:szCs w:val="28"/>
          <w14:textFill>
            <w14:solidFill>
              <w14:schemeClr w14:val="tx1"/>
            </w14:solidFill>
          </w14:textFill>
        </w:rPr>
        <w:t>“科大讯飞高校创新研究专项（二期）”</w:t>
      </w:r>
      <w:r>
        <w:rPr>
          <w:rFonts w:hint="eastAsia" w:asciiTheme="minorEastAsia" w:hAnsiTheme="minorEastAsia"/>
          <w:sz w:val="24"/>
          <w:szCs w:val="28"/>
        </w:rPr>
        <w:t>基金课题的选题方向见表一。申请人选择课题方向进行申报，要求基于基金课题提供的技术及应用等进行研究（相关技术、应用和软硬件平台介绍见表二和表三）。</w:t>
      </w:r>
    </w:p>
    <w:p>
      <w:pPr>
        <w:spacing w:line="500" w:lineRule="exact"/>
        <w:ind w:firstLine="482"/>
        <w:jc w:val="center"/>
        <w:rPr>
          <w:rFonts w:ascii="宋体" w:hAnsi="宋体" w:eastAsia="宋体"/>
          <w:b/>
          <w:color w:val="000000" w:themeColor="text1"/>
          <w:sz w:val="24"/>
          <w:szCs w:val="24"/>
          <w:highlight w:val="yellow"/>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表一 “科大讯飞高校创新研究专项”选题列表</w:t>
      </w:r>
    </w:p>
    <w:tbl>
      <w:tblPr>
        <w:tblStyle w:val="8"/>
        <w:tblpPr w:leftFromText="180" w:rightFromText="180" w:vertAnchor="text" w:tblpX="10427" w:tblpY="-5549"/>
        <w:tblOverlap w:val="never"/>
        <w:tblW w:w="1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98" w:type="dxa"/>
          </w:tcPr>
          <w:p>
            <w:pPr>
              <w:pStyle w:val="2"/>
              <w:rPr>
                <w:highlight w:val="yellow"/>
              </w:rPr>
            </w:pPr>
          </w:p>
        </w:tc>
      </w:tr>
    </w:tbl>
    <w:tbl>
      <w:tblPr>
        <w:tblStyle w:val="8"/>
        <w:tblpPr w:leftFromText="180" w:rightFromText="180" w:vertAnchor="text" w:tblpX="10427" w:tblpY="32"/>
        <w:tblOverlap w:val="never"/>
        <w:tblW w:w="1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38" w:type="dxa"/>
          </w:tcPr>
          <w:p>
            <w:pPr>
              <w:pStyle w:val="2"/>
              <w:rPr>
                <w:highlight w:val="yellow"/>
              </w:rPr>
            </w:pPr>
          </w:p>
        </w:tc>
      </w:tr>
    </w:tbl>
    <w:tbl>
      <w:tblPr>
        <w:tblStyle w:val="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84"/>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8" w:type="dxa"/>
            <w:shd w:val="clear" w:color="000000" w:fill="D0CECE"/>
            <w:vAlign w:val="center"/>
          </w:tcPr>
          <w:p>
            <w:pPr>
              <w:adjustRightInd w:val="0"/>
              <w:snapToGrid w:val="0"/>
              <w:spacing w:line="320" w:lineRule="exact"/>
              <w:jc w:val="center"/>
              <w:rPr>
                <w:b/>
                <w:bCs/>
                <w:i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课题方向编号</w:t>
            </w:r>
          </w:p>
        </w:tc>
        <w:tc>
          <w:tcPr>
            <w:tcW w:w="1984" w:type="dxa"/>
            <w:shd w:val="clear" w:color="000000" w:fill="D0CECE"/>
            <w:vAlign w:val="center"/>
          </w:tcPr>
          <w:p>
            <w:pPr>
              <w:adjustRightInd w:val="0"/>
              <w:snapToGrid w:val="0"/>
              <w:spacing w:line="320" w:lineRule="exact"/>
              <w:ind w:firstLine="38" w:firstLineChars="18"/>
              <w:jc w:val="center"/>
              <w:rPr>
                <w:b/>
                <w:bCs/>
                <w:i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课题方向</w:t>
            </w:r>
          </w:p>
        </w:tc>
        <w:tc>
          <w:tcPr>
            <w:tcW w:w="5954" w:type="dxa"/>
            <w:shd w:val="clear" w:color="000000" w:fill="D0CECE"/>
            <w:vAlign w:val="center"/>
          </w:tcPr>
          <w:p>
            <w:pPr>
              <w:adjustRightInd w:val="0"/>
              <w:snapToGrid w:val="0"/>
              <w:spacing w:line="320" w:lineRule="exact"/>
              <w:ind w:firstLine="562"/>
              <w:jc w:val="center"/>
              <w:rPr>
                <w:b/>
                <w:bCs/>
                <w:i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课题介绍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shd w:val="clear" w:color="auto" w:fill="auto"/>
            <w:vAlign w:val="center"/>
          </w:tcPr>
          <w:p>
            <w:pPr>
              <w:adjustRightInd w:val="0"/>
              <w:snapToGrid w:val="0"/>
              <w:spacing w:before="156" w:beforeLines="50" w:after="156" w:afterLines="50" w:line="320" w:lineRule="exact"/>
              <w:jc w:val="center"/>
              <w:rPr>
                <w:rFonts w:ascii="宋体" w:hAnsi="宋体" w:eastAsia="宋体"/>
                <w:b/>
                <w:iCs/>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A01</w:t>
            </w:r>
          </w:p>
        </w:tc>
        <w:tc>
          <w:tcPr>
            <w:tcW w:w="1984" w:type="dxa"/>
            <w:shd w:val="clear" w:color="auto" w:fill="auto"/>
            <w:vAlign w:val="center"/>
          </w:tcPr>
          <w:p>
            <w:pPr>
              <w:adjustRightInd w:val="0"/>
              <w:snapToGrid w:val="0"/>
              <w:spacing w:before="93" w:beforeLines="30" w:after="93" w:afterLines="30" w:line="300" w:lineRule="exact"/>
              <w:ind w:firstLine="36" w:firstLineChars="18"/>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新型数字课程建设与教学创新应用</w:t>
            </w:r>
          </w:p>
        </w:tc>
        <w:tc>
          <w:tcPr>
            <w:tcW w:w="5954" w:type="dxa"/>
            <w:shd w:val="clear" w:color="auto" w:fill="auto"/>
            <w:vAlign w:val="center"/>
          </w:tcPr>
          <w:p>
            <w:pPr>
              <w:adjustRightInd w:val="0"/>
              <w:snapToGrid w:val="0"/>
              <w:spacing w:before="62" w:beforeLines="20" w:after="62" w:afterLines="20" w:line="300" w:lineRule="exact"/>
              <w:ind w:firstLine="400" w:firstLineChars="200"/>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为推进教学方法改革，探索新的</w:t>
            </w:r>
            <w:r>
              <w:rPr>
                <w:rFonts w:hint="eastAsia" w:ascii="宋体" w:hAnsi="宋体" w:eastAsia="宋体"/>
                <w:color w:val="000000" w:themeColor="text1"/>
                <w:sz w:val="20"/>
                <w:szCs w:val="20"/>
                <w14:textFill>
                  <w14:solidFill>
                    <w14:schemeClr w14:val="tx1"/>
                  </w14:solidFill>
                </w14:textFill>
              </w:rPr>
              <w:t>课程</w:t>
            </w:r>
            <w:r>
              <w:rPr>
                <w:rFonts w:ascii="宋体" w:hAnsi="宋体" w:eastAsia="宋体"/>
                <w:color w:val="000000" w:themeColor="text1"/>
                <w:sz w:val="20"/>
                <w:szCs w:val="20"/>
                <w14:textFill>
                  <w14:solidFill>
                    <w14:schemeClr w14:val="tx1"/>
                  </w14:solidFill>
                </w14:textFill>
              </w:rPr>
              <w:t>建设路径和人才培养新模式，参研团队基于科大讯飞提供的</w:t>
            </w:r>
            <w:r>
              <w:rPr>
                <w:rFonts w:hint="eastAsia" w:ascii="宋体" w:hAnsi="宋体" w:eastAsia="宋体"/>
                <w:color w:val="000000" w:themeColor="text1"/>
                <w:sz w:val="20"/>
                <w:szCs w:val="20"/>
                <w14:textFill>
                  <w14:solidFill>
                    <w14:schemeClr w14:val="tx1"/>
                  </w14:solidFill>
                </w14:textFill>
              </w:rPr>
              <w:t>大模型</w:t>
            </w:r>
            <w:r>
              <w:rPr>
                <w:rFonts w:ascii="宋体" w:hAnsi="宋体" w:eastAsia="宋体"/>
                <w:color w:val="000000" w:themeColor="text1"/>
                <w:sz w:val="20"/>
                <w:szCs w:val="20"/>
                <w14:textFill>
                  <w14:solidFill>
                    <w14:schemeClr w14:val="tx1"/>
                  </w14:solidFill>
                </w14:textFill>
              </w:rPr>
              <w:t>、知识图谱、虚拟</w:t>
            </w:r>
            <w:r>
              <w:rPr>
                <w:rFonts w:hint="eastAsia" w:ascii="宋体" w:hAnsi="宋体" w:eastAsia="宋体"/>
                <w:color w:val="000000" w:themeColor="text1"/>
                <w:sz w:val="20"/>
                <w:szCs w:val="20"/>
                <w14:textFill>
                  <w14:solidFill>
                    <w14:schemeClr w14:val="tx1"/>
                  </w14:solidFill>
                </w14:textFill>
              </w:rPr>
              <w:t>人</w:t>
            </w:r>
            <w:r>
              <w:rPr>
                <w:rFonts w:ascii="宋体" w:hAnsi="宋体" w:eastAsia="宋体"/>
                <w:color w:val="000000" w:themeColor="text1"/>
                <w:sz w:val="20"/>
                <w:szCs w:val="20"/>
                <w14:textFill>
                  <w14:solidFill>
                    <w14:schemeClr w14:val="tx1"/>
                  </w14:solidFill>
                </w14:textFill>
              </w:rPr>
              <w:t>、自适应</w:t>
            </w:r>
            <w:r>
              <w:rPr>
                <w:rFonts w:hint="eastAsia" w:ascii="宋体" w:hAnsi="宋体" w:eastAsia="宋体"/>
                <w:color w:val="000000" w:themeColor="text1"/>
                <w:sz w:val="20"/>
                <w:szCs w:val="20"/>
                <w14:textFill>
                  <w14:solidFill>
                    <w14:schemeClr w14:val="tx1"/>
                  </w14:solidFill>
                </w14:textFill>
              </w:rPr>
              <w:t>学习</w:t>
            </w:r>
            <w:r>
              <w:rPr>
                <w:rFonts w:ascii="宋体" w:hAnsi="宋体" w:eastAsia="宋体"/>
                <w:color w:val="000000" w:themeColor="text1"/>
                <w:sz w:val="20"/>
                <w:szCs w:val="20"/>
                <w14:textFill>
                  <w14:solidFill>
                    <w14:schemeClr w14:val="tx1"/>
                  </w14:solidFill>
                </w14:textFill>
              </w:rPr>
              <w:t>系统等技术</w:t>
            </w:r>
            <w:r>
              <w:rPr>
                <w:rFonts w:hint="eastAsia" w:ascii="宋体" w:hAnsi="宋体" w:eastAsia="宋体"/>
                <w:color w:val="000000" w:themeColor="text1"/>
                <w:sz w:val="20"/>
                <w:szCs w:val="20"/>
                <w14:textFill>
                  <w14:solidFill>
                    <w14:schemeClr w14:val="tx1"/>
                  </w14:solidFill>
                </w14:textFill>
              </w:rPr>
              <w:t>和工具</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开展新型数字课程建设并研究教学创新应用。研究内容可以包括但不限于：</w:t>
            </w:r>
            <w:r>
              <w:rPr>
                <w:rFonts w:hint="eastAsia" w:ascii="宋体" w:hAnsi="宋体" w:eastAsia="宋体"/>
                <w:sz w:val="20"/>
                <w:szCs w:val="20"/>
              </w:rPr>
              <w:t>构建专业课程知识图谱，制作成体系的虚拟人AI课件，完成配套教学资源建设，实现专业课程知识图谱与学习资源、练习题目和测验题目的关联；研究基于大模型、虚拟人的引导式学习方案；研究知识学习路径推荐算法模型，为学习者精准推荐知识学习路径，构建个性化学、差异化教新模式，助力学科建设与人才培养模式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88" w:type="dxa"/>
            <w:shd w:val="clear" w:color="auto" w:fill="auto"/>
            <w:vAlign w:val="center"/>
          </w:tcPr>
          <w:p>
            <w:pPr>
              <w:adjustRightInd w:val="0"/>
              <w:snapToGrid w:val="0"/>
              <w:spacing w:before="156" w:beforeLines="50" w:after="156" w:afterLines="50" w:line="32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A</w:t>
            </w:r>
            <w:r>
              <w:rPr>
                <w:rFonts w:ascii="宋体" w:hAnsi="宋体" w:eastAsia="宋体"/>
                <w:b/>
                <w:color w:val="000000" w:themeColor="text1"/>
                <w:szCs w:val="21"/>
                <w14:textFill>
                  <w14:solidFill>
                    <w14:schemeClr w14:val="tx1"/>
                  </w14:solidFill>
                </w14:textFill>
              </w:rPr>
              <w:t>02</w:t>
            </w:r>
          </w:p>
        </w:tc>
        <w:tc>
          <w:tcPr>
            <w:tcW w:w="1984" w:type="dxa"/>
            <w:shd w:val="clear" w:color="auto" w:fill="auto"/>
            <w:vAlign w:val="center"/>
          </w:tcPr>
          <w:p>
            <w:pPr>
              <w:adjustRightInd w:val="0"/>
              <w:snapToGrid w:val="0"/>
              <w:spacing w:before="93" w:beforeLines="30" w:after="93" w:afterLines="30" w:line="300" w:lineRule="exact"/>
              <w:ind w:firstLine="36" w:firstLineChars="18"/>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智慧教学范式研究</w:t>
            </w:r>
          </w:p>
        </w:tc>
        <w:tc>
          <w:tcPr>
            <w:tcW w:w="5954" w:type="dxa"/>
            <w:shd w:val="clear" w:color="auto" w:fill="auto"/>
            <w:vAlign w:val="center"/>
          </w:tcPr>
          <w:p>
            <w:pPr>
              <w:adjustRightInd w:val="0"/>
              <w:snapToGrid w:val="0"/>
              <w:spacing w:before="93" w:beforeLines="30" w:after="93" w:afterLines="30" w:line="300" w:lineRule="exact"/>
              <w:ind w:firstLine="400" w:firstLineChars="200"/>
              <w:rPr>
                <w:rFonts w:ascii="宋体" w:hAnsi="宋体" w:eastAsia="宋体"/>
                <w:sz w:val="20"/>
                <w:szCs w:val="20"/>
              </w:rPr>
            </w:pPr>
            <w:r>
              <w:rPr>
                <w:rFonts w:hint="eastAsia" w:ascii="宋体" w:hAnsi="宋体" w:eastAsia="宋体"/>
                <w:color w:val="000000" w:themeColor="text1"/>
                <w:sz w:val="20"/>
                <w:szCs w:val="20"/>
                <w14:textFill>
                  <w14:solidFill>
                    <w14:schemeClr w14:val="tx1"/>
                  </w14:solidFill>
                </w14:textFill>
              </w:rPr>
              <w:t>深入探索人工智能、虚拟现实、大数据等新技术赋能教学应用，打造网络化、沉浸式和智能化的教学新模式，建设以数字化为支撑的高质量教育体系，加速推进教育数字转型。研究内容可以包括但不限于：基于智慧化教学环境的升级改造，夯实智慧教育基础设施，探索课堂教学质量提升路径；基于科大讯飞智慧教学平台，探索“线上+线下”混合式教学、个性化教学和自适应学习等教学新模式；基于智能评测技术，推进院校在智慧考试、智能评阅及教学评价方面进行创新；基于大数据和质量监测平台，生成数据驱动的教育质量监测模型，拓宽评价维度，提供个性化分析报告，实施信息技术支持的教育评价改革，为课程改革提供量化参考依据；基于图像识别技术和课堂录制工具，系统结合课堂教学质量评价要素要求，通过多模态数据采集，研制多类型分层评价指标体系，实现对课堂教学质量评价研究。</w:t>
            </w:r>
          </w:p>
          <w:p>
            <w:pPr>
              <w:adjustRightInd w:val="0"/>
              <w:snapToGrid w:val="0"/>
              <w:spacing w:before="93" w:beforeLines="30" w:after="93" w:afterLines="30"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sz w:val="20"/>
                <w:szCs w:val="20"/>
              </w:rPr>
              <w:t>参研团队可结合科大讯飞产品服务以及学校自身优势，任选上述的一个或多个研究方向，提出现代信息技术与教育教学深度融合推进深化教学改革方案和具体执行计划。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jc w:val="center"/>
        </w:trPr>
        <w:tc>
          <w:tcPr>
            <w:tcW w:w="988" w:type="dxa"/>
            <w:shd w:val="clear" w:color="auto" w:fill="auto"/>
            <w:vAlign w:val="center"/>
          </w:tcPr>
          <w:p>
            <w:pPr>
              <w:adjustRightInd w:val="0"/>
              <w:snapToGrid w:val="0"/>
              <w:spacing w:before="156" w:beforeLines="50" w:after="156" w:afterLines="50" w:line="32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A</w:t>
            </w:r>
            <w:r>
              <w:rPr>
                <w:rFonts w:ascii="宋体" w:hAnsi="宋体" w:eastAsia="宋体"/>
                <w:b/>
                <w:color w:val="000000" w:themeColor="text1"/>
                <w:szCs w:val="21"/>
                <w14:textFill>
                  <w14:solidFill>
                    <w14:schemeClr w14:val="tx1"/>
                  </w14:solidFill>
                </w14:textFill>
              </w:rPr>
              <w:t>03</w:t>
            </w:r>
          </w:p>
        </w:tc>
        <w:tc>
          <w:tcPr>
            <w:tcW w:w="1984" w:type="dxa"/>
            <w:shd w:val="clear" w:color="auto" w:fill="auto"/>
            <w:vAlign w:val="center"/>
          </w:tcPr>
          <w:p>
            <w:pPr>
              <w:adjustRightInd w:val="0"/>
              <w:snapToGrid w:val="0"/>
              <w:spacing w:before="93" w:beforeLines="30" w:after="93" w:afterLines="30" w:line="300" w:lineRule="exact"/>
              <w:ind w:firstLine="36" w:firstLineChars="18"/>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基于大模型的创新应用模式研究</w:t>
            </w:r>
          </w:p>
        </w:tc>
        <w:tc>
          <w:tcPr>
            <w:tcW w:w="5954" w:type="dxa"/>
            <w:shd w:val="clear" w:color="auto" w:fill="auto"/>
            <w:vAlign w:val="center"/>
          </w:tcPr>
          <w:p>
            <w:pPr>
              <w:adjustRightInd w:val="0"/>
              <w:snapToGrid w:val="0"/>
              <w:spacing w:before="93" w:beforeLines="30" w:after="93" w:afterLines="30"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为助力高校教育数字化转型，提高教育质量，参研团队以大模型为核心，研究其在高校教学、科研、管理等各个场景中的创新应用，为高校教育数字化转型注入新动能。研究内容可以包括但不限于：研究大模型在备课、授课、作业、课后学习等场景的应用；研发人工智能通识课程和配套实训平台，开展相关专业人才培养；设计融入大模型开发与应用的计算机类专业课程，完善专业人才培养方案；创新</w:t>
            </w:r>
            <w:r>
              <w:rPr>
                <w:rFonts w:hint="eastAsia" w:ascii="宋体" w:hAnsi="宋体" w:eastAsia="宋体"/>
                <w:sz w:val="20"/>
                <w:szCs w:val="20"/>
              </w:rPr>
              <w:t>基于大模型的编程教学模式，在代码纠错、代码对比、启发式智能编程辅导等方面提升编程教学效率</w:t>
            </w:r>
            <w:r>
              <w:rPr>
                <w:rFonts w:hint="eastAsia" w:ascii="宋体" w:hAnsi="宋体" w:eastAsia="宋体"/>
                <w:color w:val="000000" w:themeColor="text1"/>
                <w:sz w:val="20"/>
                <w:szCs w:val="20"/>
                <w14:textFill>
                  <w14:solidFill>
                    <w14:schemeClr w14:val="tx1"/>
                  </w14:solidFill>
                </w14:textFill>
              </w:rPr>
              <w:t>；结合院校及团队优势，训练专业领域大模型，构建高校知识服务引擎；应用大模型能力，实现校园服务、管理及决策等方面的降本增效；基于大模型等通用人工智能技术，研发产业新应用；探究</w:t>
            </w:r>
            <w:r>
              <w:rPr>
                <w:rFonts w:ascii="宋体" w:hAnsi="宋体" w:eastAsia="宋体"/>
                <w:color w:val="000000" w:themeColor="text1"/>
                <w:sz w:val="20"/>
                <w:szCs w:val="20"/>
                <w14:textFill>
                  <w14:solidFill>
                    <w14:schemeClr w14:val="tx1"/>
                  </w14:solidFill>
                </w14:textFill>
              </w:rPr>
              <w:t>AI 技术</w:t>
            </w:r>
            <w:r>
              <w:rPr>
                <w:rFonts w:hint="eastAsia" w:ascii="宋体" w:hAnsi="宋体" w:eastAsia="宋体"/>
                <w:color w:val="000000" w:themeColor="text1"/>
                <w:sz w:val="20"/>
                <w:szCs w:val="20"/>
                <w14:textFill>
                  <w14:solidFill>
                    <w14:schemeClr w14:val="tx1"/>
                  </w14:solidFill>
                </w14:textFill>
              </w:rPr>
              <w:t>赋能科学研究的新途径</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助力高水平科研等。</w:t>
            </w:r>
          </w:p>
          <w:p>
            <w:pPr>
              <w:adjustRightInd w:val="0"/>
              <w:snapToGrid w:val="0"/>
              <w:spacing w:before="93" w:beforeLines="30" w:after="93" w:afterLines="30"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参研团队可任选上述的一个或多个研究方向，基于大模型开展创新应用研究，制定执行计划，产出相关成果。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988" w:type="dxa"/>
            <w:shd w:val="clear" w:color="auto" w:fill="auto"/>
            <w:vAlign w:val="center"/>
          </w:tcPr>
          <w:p>
            <w:pPr>
              <w:adjustRightInd w:val="0"/>
              <w:snapToGrid w:val="0"/>
              <w:spacing w:before="156" w:beforeLines="50" w:after="156" w:afterLines="50" w:line="32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A</w:t>
            </w:r>
            <w:r>
              <w:rPr>
                <w:rFonts w:ascii="宋体" w:hAnsi="宋体" w:eastAsia="宋体"/>
                <w:b/>
                <w:color w:val="000000" w:themeColor="text1"/>
                <w:szCs w:val="21"/>
                <w14:textFill>
                  <w14:solidFill>
                    <w14:schemeClr w14:val="tx1"/>
                  </w14:solidFill>
                </w14:textFill>
              </w:rPr>
              <w:t>04</w:t>
            </w:r>
          </w:p>
        </w:tc>
        <w:tc>
          <w:tcPr>
            <w:tcW w:w="1984" w:type="dxa"/>
            <w:shd w:val="clear" w:color="auto" w:fill="auto"/>
            <w:vAlign w:val="center"/>
          </w:tcPr>
          <w:p>
            <w:pPr>
              <w:adjustRightInd w:val="0"/>
              <w:snapToGrid w:val="0"/>
              <w:spacing w:before="93" w:beforeLines="30" w:after="93" w:afterLines="30" w:line="300" w:lineRule="exact"/>
              <w:ind w:firstLine="36" w:firstLineChars="18"/>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人工智能技术在基础教育教学中的应用研究</w:t>
            </w:r>
          </w:p>
        </w:tc>
        <w:tc>
          <w:tcPr>
            <w:tcW w:w="5954" w:type="dxa"/>
            <w:shd w:val="clear" w:color="auto" w:fill="auto"/>
            <w:vAlign w:val="center"/>
          </w:tcPr>
          <w:p>
            <w:pPr>
              <w:adjustRightInd w:val="0"/>
              <w:snapToGrid w:val="0"/>
              <w:spacing w:before="93" w:beforeLines="30" w:after="93" w:afterLines="30" w:line="300" w:lineRule="exact"/>
              <w:ind w:firstLine="400" w:firstLineChars="200"/>
              <w:rPr>
                <w:rFonts w:ascii="宋体" w:hAnsi="宋体" w:eastAsia="宋体"/>
                <w:sz w:val="20"/>
                <w:szCs w:val="20"/>
              </w:rPr>
            </w:pPr>
            <w:r>
              <w:rPr>
                <w:rFonts w:hint="eastAsia" w:ascii="宋体" w:hAnsi="宋体" w:eastAsia="宋体"/>
                <w:color w:val="000000" w:themeColor="text1"/>
                <w:sz w:val="20"/>
                <w:szCs w:val="20"/>
                <w14:textFill>
                  <w14:solidFill>
                    <w14:schemeClr w14:val="tx1"/>
                  </w14:solidFill>
                </w14:textFill>
              </w:rPr>
              <w:t>面向国家教育政策，结合实际案例，探索人工智能技术及大数据信息推动教育治理数字化、教学教研精准化、学生学习个性化、教育评价多元化发展。研究内容可以包括但不限于：</w:t>
            </w:r>
            <w:r>
              <w:rPr>
                <w:rFonts w:ascii="宋体" w:hAnsi="宋体" w:eastAsia="宋体"/>
                <w:sz w:val="20"/>
                <w:szCs w:val="20"/>
              </w:rPr>
              <w:t>应用人工智能、大数据等技术，</w:t>
            </w:r>
            <w:r>
              <w:rPr>
                <w:rFonts w:hint="eastAsia" w:ascii="宋体" w:hAnsi="宋体" w:eastAsia="宋体"/>
                <w:color w:val="000000" w:themeColor="text1"/>
                <w:sz w:val="20"/>
                <w:szCs w:val="20"/>
                <w14:textFill>
                  <w14:solidFill>
                    <w14:schemeClr w14:val="tx1"/>
                  </w14:solidFill>
                </w14:textFill>
              </w:rPr>
              <w:t>助力教育数字化转型；</w:t>
            </w:r>
            <w:r>
              <w:rPr>
                <w:rFonts w:hint="eastAsia" w:ascii="宋体" w:hAnsi="宋体" w:eastAsia="宋体"/>
                <w:sz w:val="20"/>
                <w:szCs w:val="20"/>
              </w:rPr>
              <w:t>助力教师精准教学，提升精准教学水平；助力学生个性化学习，提升学生自主学习能力；依托数据及时分析，提升管理效率，助力学校管理者，科学决策与管理；帮助学生减轻学业负担、提高学习效率、提升学科能力；助力减负增效及家校共育；</w:t>
            </w:r>
            <w:r>
              <w:rPr>
                <w:rFonts w:ascii="宋体" w:hAnsi="宋体" w:eastAsia="宋体"/>
                <w:sz w:val="20"/>
                <w:szCs w:val="20"/>
              </w:rPr>
              <w:t>助力教育评价的准确性、科学性和公正性。</w:t>
            </w:r>
          </w:p>
          <w:p>
            <w:pPr>
              <w:adjustRightInd w:val="0"/>
              <w:snapToGrid w:val="0"/>
              <w:spacing w:before="93" w:beforeLines="30" w:after="93" w:afterLines="30"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sz w:val="20"/>
                <w:szCs w:val="20"/>
              </w:rPr>
              <w:t>参研团队可结合科大讯飞产品、服务、解决方案以及学校、教研团队自身实践，基于对人工智能技术和产品应用，对基础教育教学、实践应用、测评管理、创新研究等任选一个或多个研究方向。</w:t>
            </w:r>
          </w:p>
        </w:tc>
      </w:tr>
    </w:tbl>
    <w:p>
      <w:pPr>
        <w:pStyle w:val="2"/>
      </w:pPr>
    </w:p>
    <w:p>
      <w:pPr>
        <w:pStyle w:val="2"/>
      </w:pPr>
      <w:r>
        <w:rPr>
          <w:rFonts w:hint="eastAsia"/>
        </w:rPr>
        <w:t>二、申报条件和要求</w:t>
      </w:r>
    </w:p>
    <w:p>
      <w:pPr>
        <w:adjustRightInd w:val="0"/>
        <w:snapToGrid w:val="0"/>
        <w:spacing w:line="520" w:lineRule="exact"/>
        <w:ind w:firstLine="480" w:firstLineChars="200"/>
        <w:rPr>
          <w:sz w:val="24"/>
          <w:szCs w:val="24"/>
        </w:rPr>
      </w:pPr>
      <w:r>
        <w:rPr>
          <w:rFonts w:hint="eastAsia"/>
          <w:color w:val="000000" w:themeColor="text1"/>
          <w:sz w:val="24"/>
          <w:szCs w:val="24"/>
          <w14:textFill>
            <w14:solidFill>
              <w14:schemeClr w14:val="tx1"/>
            </w14:solidFill>
          </w14:textFill>
        </w:rPr>
        <w:t>1. 团队成员在选定的研究课题方向有较好的技术储备，包括与申报课题研究内容相关的研究成果、</w:t>
      </w:r>
      <w:r>
        <w:rPr>
          <w:rFonts w:hint="eastAsia"/>
          <w:sz w:val="24"/>
          <w:szCs w:val="24"/>
        </w:rPr>
        <w:t>教材、论文、专利、获奖等。</w:t>
      </w:r>
    </w:p>
    <w:p>
      <w:pPr>
        <w:adjustRightInd w:val="0"/>
        <w:snapToGrid w:val="0"/>
        <w:spacing w:line="520" w:lineRule="exact"/>
        <w:ind w:firstLine="480" w:firstLineChars="200"/>
        <w:rPr>
          <w:sz w:val="24"/>
          <w:szCs w:val="24"/>
        </w:rPr>
      </w:pPr>
      <w:r>
        <w:rPr>
          <w:rFonts w:hint="eastAsia"/>
          <w:sz w:val="24"/>
          <w:szCs w:val="24"/>
        </w:rPr>
        <w:t>2. 项目申请者须为相关学院、专业的负责人或副教授及以上职称。团队组成合理，分工明确，数量不少于3人。</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 优先支持有志于进行教学改革、教学模式创新，已进行过类似研究，或有初步研究计划的院校。</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 优先支持研究内容有创造性、前瞻性和实用性，有商业化前景的课题。</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 优先支持有明确研究成果，成果有应用价值，可复制、可推广的课题，不支持纯理论研究。</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 优先支持研究方向明确，研究内容详实，研究方案完整可行的课题。</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w:t>
      </w:r>
      <w:r>
        <w:rPr>
          <w:rFonts w:hint="eastAsia"/>
          <w:color w:val="000000" w:themeColor="text1"/>
          <w:sz w:val="24"/>
          <w:szCs w:val="24"/>
          <w14:textFill>
            <w14:solidFill>
              <w14:schemeClr w14:val="tx1"/>
            </w14:solidFill>
          </w14:textFill>
        </w:rPr>
        <w:t>. 优先支持院校对所申报课题有资金、政策、人员和场地等条件支持的课题。</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w:t>
      </w:r>
      <w:r>
        <w:rPr>
          <w:rFonts w:hint="eastAsia"/>
          <w:color w:val="000000" w:themeColor="text1"/>
          <w:sz w:val="24"/>
          <w:szCs w:val="24"/>
          <w14:textFill>
            <w14:solidFill>
              <w14:schemeClr w14:val="tx1"/>
            </w14:solidFill>
          </w14:textFill>
        </w:rPr>
        <w:t>. 可支持多个院校成立联合课题组，完成较为复杂的研究课题的联合申报和研究。</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w:t>
      </w:r>
      <w:r>
        <w:rPr>
          <w:rFonts w:hint="eastAsia"/>
          <w:color w:val="000000" w:themeColor="text1"/>
          <w:sz w:val="24"/>
          <w:szCs w:val="24"/>
          <w14:textFill>
            <w14:solidFill>
              <w14:schemeClr w14:val="tx1"/>
            </w14:solidFill>
          </w14:textFill>
        </w:rPr>
        <w:t>.申请人应客观、真实地填写申请书，没有知识产权争议，遵守国家有关知识产权法规。在课题申请</w:t>
      </w:r>
      <w:r>
        <w:rPr>
          <w:color w:val="000000" w:themeColor="text1"/>
          <w:sz w:val="24"/>
          <w:szCs w:val="24"/>
          <w14:textFill>
            <w14:solidFill>
              <w14:schemeClr w14:val="tx1"/>
            </w14:solidFill>
          </w14:textFill>
        </w:rPr>
        <w:t>书</w:t>
      </w:r>
      <w:r>
        <w:rPr>
          <w:rFonts w:hint="eastAsia"/>
          <w:color w:val="000000" w:themeColor="text1"/>
          <w:sz w:val="24"/>
          <w:szCs w:val="24"/>
          <w14:textFill>
            <w14:solidFill>
              <w14:schemeClr w14:val="tx1"/>
            </w14:solidFill>
          </w14:textFill>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资助课题获得的知识产权由</w:t>
      </w:r>
      <w:r>
        <w:rPr>
          <w:rFonts w:hint="eastAsia"/>
          <w:color w:val="000000" w:themeColor="text1"/>
          <w:sz w:val="24"/>
          <w:szCs w:val="24"/>
          <w14:textFill>
            <w14:solidFill>
              <w14:schemeClr w14:val="tx1"/>
            </w14:solidFill>
          </w14:textFill>
        </w:rPr>
        <w:t>资助方</w:t>
      </w:r>
      <w:r>
        <w:rPr>
          <w:color w:val="000000" w:themeColor="text1"/>
          <w:sz w:val="24"/>
          <w:szCs w:val="24"/>
          <w14:textFill>
            <w14:solidFill>
              <w14:schemeClr w14:val="tx1"/>
            </w14:solidFill>
          </w14:textFill>
        </w:rPr>
        <w:t>和</w:t>
      </w:r>
      <w:r>
        <w:rPr>
          <w:rFonts w:hint="eastAsia"/>
          <w:color w:val="000000" w:themeColor="text1"/>
          <w:sz w:val="24"/>
          <w:szCs w:val="24"/>
          <w14:textFill>
            <w14:solidFill>
              <w14:schemeClr w14:val="tx1"/>
            </w14:solidFill>
          </w14:textFill>
        </w:rPr>
        <w:t>课题</w:t>
      </w:r>
      <w:r>
        <w:rPr>
          <w:color w:val="000000" w:themeColor="text1"/>
          <w:sz w:val="24"/>
          <w:szCs w:val="24"/>
          <w14:textFill>
            <w14:solidFill>
              <w14:schemeClr w14:val="tx1"/>
            </w14:solidFill>
          </w14:textFill>
        </w:rPr>
        <w:t>承担单位共同所有</w:t>
      </w:r>
      <w:r>
        <w:rPr>
          <w:rFonts w:hint="eastAsia"/>
          <w:color w:val="000000" w:themeColor="text1"/>
          <w:sz w:val="24"/>
          <w:szCs w:val="24"/>
          <w14:textFill>
            <w14:solidFill>
              <w14:schemeClr w14:val="tx1"/>
            </w14:solidFill>
          </w14:textFill>
        </w:rPr>
        <w:t>。</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.课题组需具备可独立支配的课题研究基础软硬件条件。</w:t>
      </w:r>
    </w:p>
    <w:p>
      <w:pPr>
        <w:adjustRightInd w:val="0"/>
        <w:snapToGrid w:val="0"/>
        <w:spacing w:line="520" w:lineRule="exact"/>
        <w:ind w:firstLine="480" w:firstLineChars="200"/>
        <w:rPr>
          <w:color w:val="000000" w:themeColor="text1"/>
          <w:sz w:val="24"/>
          <w:szCs w:val="24"/>
          <w14:textFill>
            <w14:solidFill>
              <w14:schemeClr w14:val="tx1"/>
            </w14:solidFill>
          </w14:textFill>
        </w:rPr>
      </w:pPr>
    </w:p>
    <w:p>
      <w:pPr>
        <w:pStyle w:val="2"/>
      </w:pPr>
      <w:r>
        <w:rPr>
          <w:rFonts w:hint="eastAsia"/>
        </w:rPr>
        <w:t>三、资源及服务</w:t>
      </w:r>
    </w:p>
    <w:p>
      <w:pPr>
        <w:adjustRightInd w:val="0"/>
        <w:snapToGrid w:val="0"/>
        <w:spacing w:line="520" w:lineRule="exact"/>
        <w:ind w:firstLine="480" w:firstLineChars="200"/>
        <w:rPr>
          <w:color w:val="000000" w:themeColor="text1"/>
          <w:sz w:val="24"/>
          <w:szCs w:val="28"/>
          <w14:textFill>
            <w14:solidFill>
              <w14:schemeClr w14:val="tx1"/>
            </w14:solidFill>
          </w14:textFill>
        </w:rPr>
      </w:pPr>
      <w:r>
        <w:rPr>
          <w:rFonts w:hint="eastAsia"/>
          <w:sz w:val="24"/>
          <w:szCs w:val="28"/>
        </w:rPr>
        <w:t>针对入选合作院校，基金将提供完善的资源和服务体系，以保证院校顺利开展合作课题，</w:t>
      </w:r>
      <w:r>
        <w:rPr>
          <w:rFonts w:hint="eastAsia"/>
          <w:color w:val="000000" w:themeColor="text1"/>
          <w:sz w:val="24"/>
          <w:szCs w:val="28"/>
          <w14:textFill>
            <w14:solidFill>
              <w14:schemeClr w14:val="tx1"/>
            </w14:solidFill>
          </w14:textFill>
        </w:rPr>
        <w:t>并为院校在人工智能技术运用</w:t>
      </w:r>
      <w:r>
        <w:rPr>
          <w:color w:val="000000" w:themeColor="text1"/>
          <w:sz w:val="24"/>
          <w:szCs w:val="28"/>
          <w14:textFill>
            <w14:solidFill>
              <w14:schemeClr w14:val="tx1"/>
            </w14:solidFill>
          </w14:textFill>
        </w:rPr>
        <w:t>、</w:t>
      </w:r>
      <w:r>
        <w:rPr>
          <w:rFonts w:hint="eastAsia"/>
          <w:color w:val="000000" w:themeColor="text1"/>
          <w:sz w:val="24"/>
          <w:szCs w:val="28"/>
          <w14:textFill>
            <w14:solidFill>
              <w14:schemeClr w14:val="tx1"/>
            </w14:solidFill>
          </w14:textFill>
        </w:rPr>
        <w:t>智慧</w:t>
      </w:r>
      <w:r>
        <w:rPr>
          <w:color w:val="000000" w:themeColor="text1"/>
          <w:sz w:val="24"/>
          <w:szCs w:val="28"/>
          <w14:textFill>
            <w14:solidFill>
              <w14:schemeClr w14:val="tx1"/>
            </w14:solidFill>
          </w14:textFill>
        </w:rPr>
        <w:t>教学、</w:t>
      </w:r>
      <w:r>
        <w:rPr>
          <w:rFonts w:hint="eastAsia"/>
          <w:color w:val="000000" w:themeColor="text1"/>
          <w:sz w:val="24"/>
          <w:szCs w:val="28"/>
          <w14:textFill>
            <w14:solidFill>
              <w14:schemeClr w14:val="tx1"/>
            </w14:solidFill>
          </w14:textFill>
        </w:rPr>
        <w:t>大模型创新应用等领域，以及本课题鼓励支持方向的科研、教学和人才培养提供长期有效的支持。</w:t>
      </w:r>
    </w:p>
    <w:p>
      <w:pPr>
        <w:adjustRightInd w:val="0"/>
        <w:snapToGrid w:val="0"/>
        <w:spacing w:line="520" w:lineRule="exact"/>
        <w:ind w:firstLine="480"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1.“科大讯飞高校创新研究专项”为每个立项课题提供对应的科研经费、软硬件平台支持，为申报团队提供创新项目选题指导，并根据需求开展服务校方等工作。</w:t>
      </w:r>
    </w:p>
    <w:p>
      <w:pPr>
        <w:adjustRightInd w:val="0"/>
        <w:snapToGrid w:val="0"/>
        <w:spacing w:line="520" w:lineRule="exact"/>
        <w:ind w:firstLine="480"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2.</w:t>
      </w:r>
      <w:r>
        <w:rPr>
          <w:color w:val="000000" w:themeColor="text1"/>
          <w:sz w:val="24"/>
          <w:szCs w:val="28"/>
          <w14:textFill>
            <w14:solidFill>
              <w14:schemeClr w14:val="tx1"/>
            </w14:solidFill>
          </w14:textFill>
        </w:rPr>
        <w:t xml:space="preserve"> </w:t>
      </w:r>
      <w:r>
        <w:rPr>
          <w:rFonts w:hint="eastAsia"/>
          <w:color w:val="000000" w:themeColor="text1"/>
          <w:sz w:val="24"/>
          <w:szCs w:val="28"/>
          <w14:textFill>
            <w14:solidFill>
              <w14:schemeClr w14:val="tx1"/>
            </w14:solidFill>
          </w14:textFill>
        </w:rPr>
        <w:t>基金课题发起单位将辅助、联合申报院校申报新的科研课题，提供项目咨询服务和技术支持，辅助科研成果的快速产品化及解决方案的包装。</w:t>
      </w:r>
    </w:p>
    <w:p>
      <w:pPr>
        <w:adjustRightInd w:val="0"/>
        <w:snapToGrid w:val="0"/>
        <w:spacing w:line="520" w:lineRule="exact"/>
        <w:ind w:firstLine="480" w:firstLineChars="200"/>
        <w:rPr>
          <w:color w:val="000000" w:themeColor="text1"/>
          <w:sz w:val="24"/>
          <w:szCs w:val="28"/>
          <w14:textFill>
            <w14:solidFill>
              <w14:schemeClr w14:val="tx1"/>
            </w14:solidFill>
          </w14:textFill>
        </w:rPr>
      </w:pPr>
    </w:p>
    <w:p>
      <w:pPr>
        <w:adjustRightInd w:val="0"/>
        <w:snapToGrid w:val="0"/>
        <w:spacing w:after="156" w:afterLines="50"/>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表二 提供给课题研究的软硬件服务说明</w:t>
      </w:r>
    </w:p>
    <w:p>
      <w:pPr>
        <w:adjustRightInd w:val="0"/>
        <w:snapToGrid w:val="0"/>
        <w:spacing w:after="156" w:afterLines="50"/>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（研究方向A01、A</w:t>
      </w:r>
      <w:r>
        <w:rPr>
          <w:rFonts w:ascii="宋体" w:hAnsi="宋体" w:eastAsia="宋体"/>
          <w:b/>
          <w:color w:val="000000" w:themeColor="text1"/>
          <w:sz w:val="24"/>
          <w:szCs w:val="24"/>
          <w14:textFill>
            <w14:solidFill>
              <w14:schemeClr w14:val="tx1"/>
            </w14:solidFill>
          </w14:textFill>
        </w:rPr>
        <w:t>02</w:t>
      </w:r>
      <w:r>
        <w:rPr>
          <w:rFonts w:hint="eastAsia" w:ascii="宋体" w:hAnsi="宋体" w:eastAsia="宋体"/>
          <w:b/>
          <w:color w:val="000000" w:themeColor="text1"/>
          <w:sz w:val="24"/>
          <w:szCs w:val="24"/>
          <w14:textFill>
            <w14:solidFill>
              <w14:schemeClr w14:val="tx1"/>
            </w14:solidFill>
          </w14:textFill>
        </w:rPr>
        <w:t>、A</w:t>
      </w:r>
      <w:r>
        <w:rPr>
          <w:rFonts w:ascii="宋体" w:hAnsi="宋体" w:eastAsia="宋体"/>
          <w:b/>
          <w:color w:val="000000" w:themeColor="text1"/>
          <w:sz w:val="24"/>
          <w:szCs w:val="24"/>
          <w14:textFill>
            <w14:solidFill>
              <w14:schemeClr w14:val="tx1"/>
            </w14:solidFill>
          </w14:textFill>
        </w:rPr>
        <w:t>0</w:t>
      </w:r>
      <w:r>
        <w:rPr>
          <w:rFonts w:hint="eastAsia" w:ascii="宋体" w:hAnsi="宋体" w:eastAsia="宋体"/>
          <w:b/>
          <w:color w:val="000000" w:themeColor="text1"/>
          <w:sz w:val="24"/>
          <w:szCs w:val="24"/>
          <w14:textFill>
            <w14:solidFill>
              <w14:schemeClr w14:val="tx1"/>
            </w14:solidFill>
          </w14:textFill>
        </w:rPr>
        <w:t>3方向限选B01-B11；研究方向A0</w:t>
      </w:r>
      <w:r>
        <w:rPr>
          <w:rFonts w:ascii="宋体" w:hAnsi="宋体" w:eastAsia="宋体"/>
          <w:b/>
          <w:color w:val="000000" w:themeColor="text1"/>
          <w:sz w:val="24"/>
          <w:szCs w:val="24"/>
          <w14:textFill>
            <w14:solidFill>
              <w14:schemeClr w14:val="tx1"/>
            </w14:solidFill>
          </w14:textFill>
        </w:rPr>
        <w:t>4</w:t>
      </w:r>
      <w:r>
        <w:rPr>
          <w:rFonts w:hint="eastAsia" w:ascii="宋体" w:hAnsi="宋体" w:eastAsia="宋体"/>
          <w:b/>
          <w:color w:val="000000" w:themeColor="text1"/>
          <w:sz w:val="24"/>
          <w:szCs w:val="24"/>
          <w14:textFill>
            <w14:solidFill>
              <w14:schemeClr w14:val="tx1"/>
            </w14:solidFill>
          </w14:textFill>
        </w:rPr>
        <w:t>方向限选C01-</w:t>
      </w:r>
      <w:r>
        <w:rPr>
          <w:rFonts w:ascii="宋体" w:hAnsi="宋体" w:eastAsia="宋体"/>
          <w:b/>
          <w:color w:val="000000" w:themeColor="text1"/>
          <w:sz w:val="24"/>
          <w:szCs w:val="24"/>
          <w14:textFill>
            <w14:solidFill>
              <w14:schemeClr w14:val="tx1"/>
            </w14:solidFill>
          </w14:textFill>
        </w:rPr>
        <w:t>C</w:t>
      </w:r>
      <w:r>
        <w:rPr>
          <w:rFonts w:hint="eastAsia" w:ascii="宋体" w:hAnsi="宋体" w:eastAsia="宋体"/>
          <w:b/>
          <w:color w:val="000000" w:themeColor="text1"/>
          <w:sz w:val="24"/>
          <w:szCs w:val="24"/>
          <w14:textFill>
            <w14:solidFill>
              <w14:schemeClr w14:val="tx1"/>
            </w14:solidFill>
          </w14:textFill>
        </w:rPr>
        <w:t>1</w:t>
      </w:r>
      <w:r>
        <w:rPr>
          <w:rFonts w:ascii="宋体" w:hAnsi="宋体" w:eastAsia="宋体"/>
          <w:b/>
          <w:color w:val="000000" w:themeColor="text1"/>
          <w:sz w:val="24"/>
          <w:szCs w:val="24"/>
          <w14:textFill>
            <w14:solidFill>
              <w14:schemeClr w14:val="tx1"/>
            </w14:solidFill>
          </w14:textFill>
        </w:rPr>
        <w:t>3</w:t>
      </w:r>
      <w:r>
        <w:rPr>
          <w:rFonts w:hint="eastAsia" w:ascii="宋体" w:hAnsi="宋体" w:eastAsia="宋体"/>
          <w:b/>
          <w:color w:val="000000" w:themeColor="text1"/>
          <w:sz w:val="24"/>
          <w:szCs w:val="24"/>
          <w14:textFill>
            <w14:solidFill>
              <w14:schemeClr w14:val="tx1"/>
            </w14:solidFill>
          </w14:textFill>
        </w:rPr>
        <w:t>）</w:t>
      </w:r>
    </w:p>
    <w:tbl>
      <w:tblPr>
        <w:tblStyle w:val="7"/>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34" w:type="dxa"/>
            <w:shd w:val="clear" w:color="000000" w:fill="C0C0C0"/>
            <w:vAlign w:val="center"/>
          </w:tcPr>
          <w:p>
            <w:pPr>
              <w:adjustRightInd w:val="0"/>
              <w:snapToGrid w:val="0"/>
              <w:spacing w:before="156" w:beforeLines="50" w:after="156" w:afterLines="50" w:line="320" w:lineRule="exact"/>
              <w:ind w:firstLine="37"/>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平台编号</w:t>
            </w:r>
          </w:p>
        </w:tc>
        <w:tc>
          <w:tcPr>
            <w:tcW w:w="1701" w:type="dxa"/>
            <w:shd w:val="clear" w:color="000000" w:fill="C0C0C0"/>
            <w:vAlign w:val="center"/>
          </w:tcPr>
          <w:p>
            <w:pPr>
              <w:adjustRightInd w:val="0"/>
              <w:snapToGrid w:val="0"/>
              <w:spacing w:before="156" w:beforeLines="50" w:after="156" w:afterLines="50" w:line="32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软硬件服务名称</w:t>
            </w:r>
          </w:p>
        </w:tc>
        <w:tc>
          <w:tcPr>
            <w:tcW w:w="5954" w:type="dxa"/>
            <w:shd w:val="clear" w:color="000000" w:fill="C0C0C0"/>
            <w:vAlign w:val="center"/>
          </w:tcPr>
          <w:p>
            <w:pPr>
              <w:adjustRightInd w:val="0"/>
              <w:snapToGrid w:val="0"/>
              <w:spacing w:before="156" w:beforeLines="50" w:after="156" w:afterLines="50" w:line="32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B01</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cs="宋体"/>
                <w:sz w:val="20"/>
              </w:rPr>
            </w:pPr>
            <w:r>
              <w:rPr>
                <w:rFonts w:hint="eastAsia" w:ascii="宋体" w:hAnsi="宋体" w:eastAsia="宋体" w:cs="宋体"/>
                <w:sz w:val="20"/>
              </w:rPr>
              <w:t>F</w:t>
            </w:r>
            <w:r>
              <w:rPr>
                <w:rFonts w:ascii="宋体" w:hAnsi="宋体" w:eastAsia="宋体" w:cs="宋体"/>
                <w:sz w:val="20"/>
              </w:rPr>
              <w:t>iF口语训练系统</w:t>
            </w:r>
          </w:p>
        </w:tc>
        <w:tc>
          <w:tcPr>
            <w:tcW w:w="5954" w:type="dxa"/>
            <w:shd w:val="clear" w:color="auto" w:fill="auto"/>
            <w:vAlign w:val="center"/>
          </w:tcPr>
          <w:p>
            <w:pPr>
              <w:shd w:val="clear" w:color="auto" w:fill="FFFFFF"/>
              <w:adjustRightInd w:val="0"/>
              <w:snapToGrid w:val="0"/>
              <w:spacing w:before="124" w:beforeLines="40" w:after="124" w:afterLines="40" w:line="32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F</w:t>
            </w:r>
            <w:r>
              <w:rPr>
                <w:rFonts w:ascii="宋体" w:hAnsi="宋体" w:eastAsia="宋体"/>
                <w:color w:val="000000" w:themeColor="text1"/>
                <w:sz w:val="20"/>
                <w:szCs w:val="20"/>
                <w14:textFill>
                  <w14:solidFill>
                    <w14:schemeClr w14:val="tx1"/>
                  </w14:solidFill>
                </w14:textFill>
              </w:rPr>
              <w:t>iF口语训练系统是基于科大讯飞核心智能语音技术，配套丰富的英语听说智能评测训练内容的教学与管理系统，可支持高校师生灵活开展英语教学活动。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szCs w:val="20"/>
              </w:rPr>
            </w:pPr>
            <w:r>
              <w:rPr>
                <w:rFonts w:hint="eastAsia" w:ascii="宋体" w:hAnsi="宋体" w:eastAsia="宋体"/>
                <w:sz w:val="20"/>
                <w:szCs w:val="20"/>
              </w:rPr>
              <w:t>B0</w:t>
            </w:r>
            <w:r>
              <w:rPr>
                <w:rFonts w:ascii="宋体" w:hAnsi="宋体" w:eastAsia="宋体"/>
                <w:sz w:val="20"/>
                <w:szCs w:val="20"/>
              </w:rPr>
              <w:t>2</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cs="宋体"/>
                <w:color w:val="auto"/>
                <w:sz w:val="20"/>
              </w:rPr>
            </w:pPr>
            <w:r>
              <w:rPr>
                <w:rFonts w:ascii="宋体" w:hAnsi="宋体" w:eastAsia="宋体" w:cs="宋体"/>
                <w:color w:val="auto"/>
                <w:sz w:val="20"/>
              </w:rPr>
              <w:t>智慧考试整体解决方案</w:t>
            </w:r>
          </w:p>
        </w:tc>
        <w:tc>
          <w:tcPr>
            <w:tcW w:w="5954" w:type="dxa"/>
            <w:shd w:val="clear" w:color="auto" w:fill="auto"/>
            <w:vAlign w:val="center"/>
          </w:tcPr>
          <w:p>
            <w:pPr>
              <w:adjustRightInd w:val="0"/>
              <w:snapToGrid w:val="0"/>
              <w:spacing w:before="124" w:beforeLines="40" w:after="124" w:afterLines="40" w:line="320" w:lineRule="exact"/>
              <w:ind w:firstLine="400" w:firstLineChars="200"/>
              <w:rPr>
                <w:rFonts w:ascii="宋体" w:hAnsi="宋体" w:eastAsia="宋体"/>
                <w:sz w:val="20"/>
                <w:szCs w:val="20"/>
              </w:rPr>
            </w:pPr>
            <w:r>
              <w:rPr>
                <w:rFonts w:ascii="宋体" w:hAnsi="宋体" w:eastAsia="宋体"/>
                <w:sz w:val="20"/>
                <w:szCs w:val="20"/>
              </w:rPr>
              <w:t>智慧考试整体解决方案可满足高校线上和线下全场景考试需求，帮助高校解决试题资源建设、考务管理、抽题组卷、监考管理与追踪、在线阅卷与智能评阅、数字化留痕归档、成绩分析等考试全流程的组织管理与实施问题，助力高校建设校级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szCs w:val="20"/>
              </w:rPr>
            </w:pPr>
            <w:r>
              <w:rPr>
                <w:rFonts w:hint="eastAsia" w:ascii="宋体" w:hAnsi="宋体" w:eastAsia="宋体"/>
                <w:sz w:val="20"/>
                <w:szCs w:val="20"/>
              </w:rPr>
              <w:t>B</w:t>
            </w:r>
            <w:r>
              <w:rPr>
                <w:rFonts w:ascii="宋体" w:hAnsi="宋体" w:eastAsia="宋体"/>
                <w:sz w:val="20"/>
                <w:szCs w:val="20"/>
              </w:rPr>
              <w:t>03</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cs="宋体"/>
                <w:color w:val="auto"/>
                <w:sz w:val="20"/>
              </w:rPr>
            </w:pPr>
            <w:r>
              <w:rPr>
                <w:rFonts w:hint="eastAsia" w:ascii="宋体" w:hAnsi="宋体" w:eastAsia="宋体" w:cs="宋体"/>
                <w:color w:val="auto"/>
                <w:sz w:val="20"/>
              </w:rPr>
              <w:t>讯飞AI课堂</w:t>
            </w:r>
          </w:p>
        </w:tc>
        <w:tc>
          <w:tcPr>
            <w:tcW w:w="5954" w:type="dxa"/>
            <w:shd w:val="clear" w:color="auto" w:fill="auto"/>
            <w:vAlign w:val="center"/>
          </w:tcPr>
          <w:p>
            <w:pPr>
              <w:shd w:val="clear" w:color="auto" w:fill="FFFFFF"/>
              <w:adjustRightInd w:val="0"/>
              <w:snapToGrid w:val="0"/>
              <w:spacing w:before="124" w:beforeLines="40" w:after="124" w:afterLines="40" w:line="320" w:lineRule="exact"/>
              <w:ind w:firstLine="400" w:firstLineChars="200"/>
              <w:rPr>
                <w:rFonts w:ascii="宋体" w:hAnsi="宋体" w:eastAsia="宋体"/>
                <w:sz w:val="20"/>
                <w:szCs w:val="20"/>
              </w:rPr>
            </w:pPr>
            <w:r>
              <w:rPr>
                <w:rFonts w:hint="eastAsia" w:ascii="宋体" w:hAnsi="宋体" w:eastAsia="宋体"/>
                <w:sz w:val="20"/>
                <w:szCs w:val="20"/>
              </w:rPr>
              <w:t>讯飞AI课堂是讯飞为高校提供的软硬一体化智慧课堂教学解决方案。它借助科大讯飞智能语音和机器翻译等核心技术，能够常态化记录课堂教学的全过程与重难点；提供简洁易用的课堂互动工具，支持师生灵活开展各项教学活动；通过大数据技术，进行动态教学数据分析，助力教师教研及课堂教学内容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szCs w:val="20"/>
              </w:rPr>
            </w:pPr>
            <w:r>
              <w:rPr>
                <w:rFonts w:hint="eastAsia" w:ascii="宋体" w:hAnsi="宋体" w:eastAsia="宋体"/>
                <w:sz w:val="20"/>
                <w:szCs w:val="20"/>
              </w:rPr>
              <w:t>B0</w:t>
            </w:r>
            <w:r>
              <w:rPr>
                <w:rFonts w:ascii="宋体" w:hAnsi="宋体" w:eastAsia="宋体"/>
                <w:sz w:val="20"/>
                <w:szCs w:val="20"/>
              </w:rPr>
              <w:t>4</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cs="宋体"/>
                <w:color w:val="auto"/>
                <w:sz w:val="20"/>
              </w:rPr>
            </w:pPr>
            <w:r>
              <w:rPr>
                <w:rFonts w:hint="eastAsia" w:ascii="宋体" w:hAnsi="宋体" w:eastAsia="宋体" w:cs="宋体"/>
                <w:color w:val="auto"/>
                <w:sz w:val="20"/>
              </w:rPr>
              <w:t>教学质量管理系统</w:t>
            </w:r>
          </w:p>
        </w:tc>
        <w:tc>
          <w:tcPr>
            <w:tcW w:w="5954" w:type="dxa"/>
            <w:shd w:val="clear" w:color="auto" w:fill="auto"/>
            <w:vAlign w:val="center"/>
          </w:tcPr>
          <w:p>
            <w:pPr>
              <w:shd w:val="clear" w:color="auto" w:fill="FFFFFF"/>
              <w:adjustRightInd w:val="0"/>
              <w:snapToGrid w:val="0"/>
              <w:spacing w:before="124" w:beforeLines="40" w:after="124" w:afterLines="40" w:line="320" w:lineRule="exact"/>
              <w:ind w:firstLine="400" w:firstLineChars="200"/>
              <w:rPr>
                <w:rFonts w:ascii="宋体" w:hAnsi="宋体" w:eastAsia="宋体"/>
                <w:sz w:val="20"/>
                <w:szCs w:val="20"/>
              </w:rPr>
            </w:pPr>
            <w:r>
              <w:rPr>
                <w:rFonts w:hint="eastAsia" w:ascii="宋体" w:hAnsi="宋体" w:eastAsia="宋体"/>
                <w:sz w:val="20"/>
                <w:szCs w:val="20"/>
              </w:rPr>
              <w:t>教学质量管理系统利用大数据分析与挖掘技术，通过采集课堂教学、在线教学、考试评价等数据，对教、学情况进行多维度分析，形成多种角色画像和周期性教学报告，提供预警，帮助高校深度挖掘与应用数据价值，助力教学管理决策科学化及教学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szCs w:val="20"/>
              </w:rPr>
            </w:pPr>
            <w:r>
              <w:rPr>
                <w:rFonts w:hint="eastAsia" w:ascii="宋体" w:hAnsi="宋体" w:eastAsia="宋体"/>
                <w:sz w:val="20"/>
                <w:szCs w:val="20"/>
              </w:rPr>
              <w:t>B</w:t>
            </w:r>
            <w:r>
              <w:rPr>
                <w:rFonts w:ascii="宋体" w:hAnsi="宋体" w:eastAsia="宋体"/>
                <w:sz w:val="20"/>
                <w:szCs w:val="20"/>
              </w:rPr>
              <w:t>05</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cs="宋体"/>
                <w:color w:val="auto"/>
                <w:sz w:val="20"/>
              </w:rPr>
            </w:pPr>
            <w:r>
              <w:rPr>
                <w:rFonts w:hint="eastAsia" w:ascii="宋体" w:hAnsi="宋体" w:eastAsia="宋体" w:cs="宋体"/>
                <w:color w:val="auto"/>
                <w:sz w:val="20"/>
              </w:rPr>
              <w:t>教学资源资产中心</w:t>
            </w:r>
          </w:p>
        </w:tc>
        <w:tc>
          <w:tcPr>
            <w:tcW w:w="5954" w:type="dxa"/>
            <w:shd w:val="clear" w:color="auto" w:fill="auto"/>
            <w:vAlign w:val="center"/>
          </w:tcPr>
          <w:p>
            <w:pPr>
              <w:pStyle w:val="6"/>
              <w:shd w:val="clear" w:color="auto" w:fill="FFFFFF"/>
              <w:adjustRightInd w:val="0"/>
              <w:snapToGrid w:val="0"/>
              <w:spacing w:before="124" w:beforeLines="40" w:beforeAutospacing="0" w:after="124" w:afterLines="40" w:afterAutospacing="0" w:line="320" w:lineRule="exact"/>
              <w:ind w:firstLine="400" w:firstLineChars="200"/>
              <w:rPr>
                <w:rFonts w:ascii="宋体" w:hAnsi="宋体" w:eastAsia="宋体"/>
                <w:sz w:val="20"/>
                <w:szCs w:val="20"/>
              </w:rPr>
            </w:pPr>
            <w:r>
              <w:rPr>
                <w:rFonts w:hint="eastAsia" w:ascii="宋体" w:hAnsi="宋体" w:eastAsia="宋体"/>
                <w:sz w:val="20"/>
                <w:szCs w:val="20"/>
              </w:rPr>
              <w:t>教学资源资产中心是助力教学资源汇聚、处理、沉淀、开放服务管理的一体化平台。利用科大讯飞智能语音、大数据、知识图谱等核心技术，通过开放服务生态，完成对教学资源的多源管理与统一汇聚；借助语音识别、OCR和自然语言处理等核心技术，完成对资源的智能加工、检索与个性化推荐；帮助院校盘活教学资源，提升资源应用价值，助力教育教学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szCs w:val="20"/>
              </w:rPr>
            </w:pPr>
            <w:r>
              <w:rPr>
                <w:rFonts w:hint="eastAsia" w:ascii="宋体" w:hAnsi="宋体" w:eastAsia="宋体"/>
                <w:sz w:val="20"/>
                <w:szCs w:val="20"/>
              </w:rPr>
              <w:t>B0</w:t>
            </w:r>
            <w:r>
              <w:rPr>
                <w:rFonts w:ascii="宋体" w:hAnsi="宋体" w:eastAsia="宋体"/>
                <w:sz w:val="20"/>
                <w:szCs w:val="20"/>
              </w:rPr>
              <w:t>6</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cs="宋体"/>
                <w:color w:val="auto"/>
                <w:sz w:val="20"/>
              </w:rPr>
            </w:pPr>
            <w:r>
              <w:rPr>
                <w:rFonts w:hint="eastAsia" w:ascii="宋体" w:hAnsi="宋体" w:eastAsia="宋体" w:cs="宋体"/>
                <w:color w:val="auto"/>
                <w:sz w:val="20"/>
              </w:rPr>
              <w:t>智慧教学平台</w:t>
            </w:r>
          </w:p>
        </w:tc>
        <w:tc>
          <w:tcPr>
            <w:tcW w:w="5954" w:type="dxa"/>
            <w:shd w:val="clear" w:color="auto" w:fill="auto"/>
            <w:vAlign w:val="center"/>
          </w:tcPr>
          <w:p>
            <w:pPr>
              <w:pStyle w:val="6"/>
              <w:shd w:val="clear" w:color="auto" w:fill="FFFFFF"/>
              <w:adjustRightInd w:val="0"/>
              <w:snapToGrid w:val="0"/>
              <w:spacing w:before="124" w:beforeLines="40" w:beforeAutospacing="0" w:after="124" w:afterLines="40" w:afterAutospacing="0" w:line="320" w:lineRule="exact"/>
              <w:ind w:firstLine="400" w:firstLineChars="200"/>
              <w:rPr>
                <w:rFonts w:ascii="宋体" w:hAnsi="宋体" w:eastAsia="宋体"/>
                <w:sz w:val="20"/>
                <w:szCs w:val="20"/>
              </w:rPr>
            </w:pPr>
            <w:r>
              <w:rPr>
                <w:rFonts w:hint="eastAsia" w:ascii="宋体" w:hAnsi="宋体" w:eastAsia="宋体"/>
                <w:sz w:val="20"/>
                <w:szCs w:val="20"/>
              </w:rPr>
              <w:t>智慧教学平台以多种智慧教学应用为依托，整合学校现有讯飞应用和资源，统一数据支撑和管理，实现教学场景全覆盖、教育信息全贯通，为学校打造统一、开放、个性化的教学平台。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szCs w:val="20"/>
              </w:rPr>
            </w:pPr>
            <w:r>
              <w:rPr>
                <w:rFonts w:hint="eastAsia" w:ascii="宋体" w:hAnsi="宋体" w:eastAsia="宋体"/>
                <w:sz w:val="20"/>
                <w:szCs w:val="20"/>
              </w:rPr>
              <w:t>B</w:t>
            </w:r>
            <w:r>
              <w:rPr>
                <w:rFonts w:ascii="宋体" w:hAnsi="宋体" w:eastAsia="宋体"/>
                <w:sz w:val="20"/>
                <w:szCs w:val="20"/>
              </w:rPr>
              <w:t>07</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cs="宋体"/>
                <w:color w:val="auto"/>
                <w:sz w:val="20"/>
              </w:rPr>
            </w:pPr>
            <w:r>
              <w:rPr>
                <w:rFonts w:hint="eastAsia" w:ascii="宋体" w:hAnsi="宋体" w:eastAsia="宋体" w:cs="宋体"/>
                <w:color w:val="auto"/>
                <w:sz w:val="20"/>
              </w:rPr>
              <w:t>大模型应用</w:t>
            </w:r>
          </w:p>
        </w:tc>
        <w:tc>
          <w:tcPr>
            <w:tcW w:w="5954" w:type="dxa"/>
            <w:shd w:val="clear" w:color="auto" w:fill="auto"/>
            <w:vAlign w:val="center"/>
          </w:tcPr>
          <w:p>
            <w:pPr>
              <w:pStyle w:val="6"/>
              <w:shd w:val="clear" w:color="auto" w:fill="FFFFFF"/>
              <w:adjustRightInd w:val="0"/>
              <w:snapToGrid w:val="0"/>
              <w:spacing w:before="62" w:beforeLines="20" w:beforeAutospacing="0" w:after="62" w:afterLines="20" w:afterAutospacing="0" w:line="300" w:lineRule="exact"/>
              <w:ind w:firstLine="400" w:firstLineChars="200"/>
              <w:rPr>
                <w:rFonts w:ascii="宋体" w:hAnsi="宋体" w:eastAsia="宋体"/>
                <w:sz w:val="20"/>
                <w:szCs w:val="20"/>
              </w:rPr>
            </w:pPr>
            <w:r>
              <w:rPr>
                <w:rFonts w:hint="eastAsia" w:ascii="宋体" w:hAnsi="宋体" w:eastAsia="宋体" w:cs="宋体"/>
                <w:color w:val="000000" w:themeColor="text1"/>
                <w:sz w:val="20"/>
                <w:szCs w:val="20"/>
                <w14:textFill>
                  <w14:solidFill>
                    <w14:schemeClr w14:val="tx1"/>
                  </w14:solidFill>
                </w14:textFill>
              </w:rPr>
              <w:t>讯飞星火认知大模型拥有跨领域的知识和语言理解能力，能够基于自然对话方式理解与执行任务。从海量数据和大规模知识中持续进化，实现从提出、规划到解决问题的全流程闭环。星火大模型具有以下核心能力：文本生成、语言理解、知识问答、逻辑推理、代码能力、数学能力、多模态能力。目前，大模型应用能够支持机器翻译、文本摘要、情感分析等语言理解应用，支持生活常识、工作技能、历史人文等知识问答应用，支持思维推理、科学推理、常识推理等逻辑推理应用，支持代码理解和编写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szCs w:val="20"/>
              </w:rPr>
            </w:pPr>
            <w:r>
              <w:rPr>
                <w:rFonts w:hint="eastAsia" w:ascii="宋体" w:hAnsi="宋体" w:eastAsia="宋体"/>
                <w:sz w:val="20"/>
                <w:szCs w:val="20"/>
              </w:rPr>
              <w:t>B08</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cs="宋体"/>
                <w:color w:val="auto"/>
                <w:sz w:val="20"/>
              </w:rPr>
            </w:pPr>
            <w:r>
              <w:rPr>
                <w:rFonts w:hint="eastAsia" w:ascii="宋体" w:hAnsi="宋体" w:eastAsia="宋体" w:cs="宋体"/>
                <w:color w:val="auto"/>
                <w:sz w:val="20"/>
              </w:rPr>
              <w:t>大模型智能服务平台</w:t>
            </w:r>
          </w:p>
        </w:tc>
        <w:tc>
          <w:tcPr>
            <w:tcW w:w="5954" w:type="dxa"/>
            <w:shd w:val="clear" w:color="auto" w:fill="auto"/>
            <w:vAlign w:val="center"/>
          </w:tcPr>
          <w:p>
            <w:pPr>
              <w:pStyle w:val="6"/>
              <w:shd w:val="clear" w:color="auto" w:fill="FFFFFF"/>
              <w:adjustRightInd w:val="0"/>
              <w:snapToGrid w:val="0"/>
              <w:spacing w:before="62" w:beforeLines="20" w:beforeAutospacing="0" w:after="62" w:afterLines="20" w:afterAutospacing="0" w:line="30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通过语音识别、语义理解、问答匹配、语音合成等AI技术构建的大模型智能服务平台，以智能对话、智能搜索为主要交互方式，从师生校园服务、学生校园学习、教师教学活动、教师校园办公等多个场景，为师生提供交互式问答服务，实现“让数据多跑路、让师生少跑腿”，满足高校教学、科研和管理等工作需求，有效提升学校相关事务的工作效率，提高师生用户对于学校服务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szCs w:val="20"/>
              </w:rPr>
            </w:pPr>
            <w:r>
              <w:rPr>
                <w:rFonts w:hint="eastAsia" w:ascii="宋体" w:hAnsi="宋体" w:eastAsia="宋体"/>
                <w:sz w:val="20"/>
                <w:szCs w:val="20"/>
              </w:rPr>
              <w:t>B09</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cs="宋体"/>
                <w:color w:val="auto"/>
                <w:sz w:val="20"/>
              </w:rPr>
            </w:pPr>
            <w:r>
              <w:rPr>
                <w:rFonts w:hint="eastAsia" w:ascii="宋体" w:hAnsi="宋体" w:eastAsia="宋体" w:cs="宋体"/>
                <w:color w:val="auto"/>
                <w:sz w:val="20"/>
              </w:rPr>
              <w:t>讯飞星火码聊</w:t>
            </w:r>
          </w:p>
        </w:tc>
        <w:tc>
          <w:tcPr>
            <w:tcW w:w="5954" w:type="dxa"/>
            <w:shd w:val="clear" w:color="auto" w:fill="auto"/>
            <w:vAlign w:val="center"/>
          </w:tcPr>
          <w:p>
            <w:pPr>
              <w:widowControl/>
              <w:spacing w:before="62" w:beforeLines="20" w:after="62" w:afterLines="20" w:line="30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讯飞星火码聊是讯飞星火认知大模型赋能的智能编程教学应用平台，可以为学生提供实时、个性化、启发式的编程辅导服务，为教师提供灵活、高效、多维度的编程教学支持服务；同时，平台提供了可用于高校间共享大模型赋能编程经验的开放论坛，能够帮助高校有组织实施编程教学工作，提高学生学习效率，减轻教师工作负担，促进教育教学数字化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szCs w:val="20"/>
              </w:rPr>
            </w:pPr>
            <w:r>
              <w:rPr>
                <w:rFonts w:hint="eastAsia" w:ascii="宋体" w:hAnsi="宋体" w:eastAsia="宋体"/>
                <w:sz w:val="20"/>
                <w:szCs w:val="20"/>
              </w:rPr>
              <w:t>B10</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cs="宋体"/>
                <w:color w:val="auto"/>
                <w:sz w:val="20"/>
              </w:rPr>
            </w:pPr>
            <w:r>
              <w:rPr>
                <w:rFonts w:hint="eastAsia" w:ascii="宋体" w:hAnsi="宋体" w:eastAsia="宋体" w:cs="宋体"/>
                <w:color w:val="auto"/>
                <w:sz w:val="20"/>
              </w:rPr>
              <w:t>iFlyCode</w:t>
            </w:r>
          </w:p>
        </w:tc>
        <w:tc>
          <w:tcPr>
            <w:tcW w:w="5954" w:type="dxa"/>
            <w:shd w:val="clear" w:color="auto" w:fill="auto"/>
            <w:vAlign w:val="center"/>
          </w:tcPr>
          <w:p>
            <w:pPr>
              <w:pStyle w:val="6"/>
              <w:shd w:val="clear" w:color="auto" w:fill="FFFFFF"/>
              <w:adjustRightInd w:val="0"/>
              <w:snapToGrid w:val="0"/>
              <w:spacing w:before="62" w:beforeLines="20" w:beforeAutospacing="0" w:after="62" w:afterLines="20" w:afterAutospacing="0" w:line="30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iFlyCode智能编程助手是基于讯飞星火大模型代码能力的编程辅助工具，它可以通过自然语言处理、大模型等技术，为用户提供智能化的代码编写建议和错误检测功能，还可以根据开发者的反馈不断进行学习和优化，提高代码生成的准确性和效率。不仅可以提高编码效率，还能帮助开发者更好地理解业务逻辑和技术需求，极大地提高了教师工作效率和代码质量，降低开发成本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szCs w:val="20"/>
              </w:rPr>
            </w:pPr>
            <w:r>
              <w:rPr>
                <w:rFonts w:hint="eastAsia" w:ascii="宋体" w:hAnsi="宋体" w:eastAsia="宋体"/>
                <w:sz w:val="20"/>
                <w:szCs w:val="20"/>
              </w:rPr>
              <w:t>B11</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cs="宋体"/>
                <w:color w:val="auto"/>
                <w:sz w:val="20"/>
              </w:rPr>
            </w:pPr>
            <w:r>
              <w:rPr>
                <w:rFonts w:hint="eastAsia" w:ascii="宋体" w:hAnsi="宋体" w:eastAsia="宋体" w:cs="宋体"/>
                <w:color w:val="auto"/>
                <w:sz w:val="20"/>
              </w:rPr>
              <w:t>星火科研助手</w:t>
            </w:r>
          </w:p>
        </w:tc>
        <w:tc>
          <w:tcPr>
            <w:tcW w:w="5954" w:type="dxa"/>
            <w:shd w:val="clear" w:color="auto" w:fill="auto"/>
            <w:vAlign w:val="center"/>
          </w:tcPr>
          <w:p>
            <w:pPr>
              <w:pStyle w:val="6"/>
              <w:shd w:val="clear" w:color="auto" w:fill="FFFFFF"/>
              <w:adjustRightInd w:val="0"/>
              <w:snapToGrid w:val="0"/>
              <w:spacing w:before="62" w:beforeLines="20" w:beforeAutospacing="0" w:after="62" w:afterLines="20" w:afterAutospacing="0" w:line="30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星火科研助手基于星火大模型和专业语料库构建，在论文成果调研阶段，可以快速检索相关领域的文献资料，并通过智能分析提炼出关键信息，对相关领域文献资料做整体分析和细节分析，帮助科研人员进行研究成果总结、学者论文调研，还可进行文章润色、翻译、查重，保障文献处理的深度和广度，提升科研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szCs w:val="20"/>
              </w:rPr>
            </w:pPr>
            <w:r>
              <w:rPr>
                <w:rFonts w:hint="eastAsia" w:ascii="宋体" w:hAnsi="宋体" w:eastAsia="宋体"/>
                <w:sz w:val="20"/>
                <w:szCs w:val="20"/>
              </w:rPr>
              <w:t>C</w:t>
            </w:r>
            <w:r>
              <w:rPr>
                <w:rFonts w:ascii="宋体" w:hAnsi="宋体" w:eastAsia="宋体"/>
                <w:sz w:val="20"/>
                <w:szCs w:val="20"/>
              </w:rPr>
              <w:t>01</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cs="宋体"/>
                <w:color w:val="auto"/>
                <w:sz w:val="20"/>
              </w:rPr>
            </w:pPr>
            <w:r>
              <w:rPr>
                <w:rFonts w:hint="eastAsia" w:ascii="宋体" w:hAnsi="宋体" w:eastAsia="宋体" w:cs="宋体"/>
                <w:color w:val="auto"/>
                <w:sz w:val="20"/>
              </w:rPr>
              <w:t>因材施教综合解决方案</w:t>
            </w:r>
          </w:p>
        </w:tc>
        <w:tc>
          <w:tcPr>
            <w:tcW w:w="5954" w:type="dxa"/>
            <w:shd w:val="clear" w:color="auto" w:fill="auto"/>
            <w:vAlign w:val="center"/>
          </w:tcPr>
          <w:p>
            <w:pPr>
              <w:pStyle w:val="6"/>
              <w:shd w:val="clear" w:color="auto" w:fill="FFFFFF"/>
              <w:adjustRightInd w:val="0"/>
              <w:snapToGrid w:val="0"/>
              <w:spacing w:before="62" w:beforeLines="20" w:beforeAutospacing="0" w:after="62" w:afterLines="20" w:afterAutospacing="0" w:line="30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因材施教综合解决方案将教育大数据、图文图像智能识别、智能评测、学科知识图谱、智能推荐等技术与教育教学深度融合，重点解决现代教育“既要师生减负，也要提升教学质量；既要五育并举，也要实现科技强国；既要减少日常考试，也要评估教学成效；既要强化学校主阵地，也要兼顾教师负担”等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rPr>
            </w:pPr>
            <w:r>
              <w:rPr>
                <w:rFonts w:hint="eastAsia" w:ascii="宋体" w:hAnsi="宋体" w:eastAsia="宋体"/>
                <w:sz w:val="20"/>
              </w:rPr>
              <w:t>C</w:t>
            </w:r>
            <w:r>
              <w:rPr>
                <w:rFonts w:ascii="宋体" w:hAnsi="宋体" w:eastAsia="宋体"/>
                <w:sz w:val="20"/>
              </w:rPr>
              <w:t>02</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cs="宋体"/>
                <w:color w:val="auto"/>
                <w:sz w:val="20"/>
              </w:rPr>
            </w:pPr>
            <w:r>
              <w:rPr>
                <w:rFonts w:hint="eastAsia" w:ascii="宋体" w:hAnsi="宋体" w:eastAsia="宋体" w:cs="宋体"/>
                <w:color w:val="auto"/>
                <w:sz w:val="20"/>
              </w:rPr>
              <w:t>教育数字基座</w:t>
            </w:r>
          </w:p>
        </w:tc>
        <w:tc>
          <w:tcPr>
            <w:tcW w:w="5954" w:type="dxa"/>
            <w:shd w:val="clear" w:color="auto" w:fill="auto"/>
            <w:vAlign w:val="center"/>
          </w:tcPr>
          <w:p>
            <w:pPr>
              <w:pStyle w:val="6"/>
              <w:shd w:val="clear" w:color="auto" w:fill="FFFFFF"/>
              <w:adjustRightInd w:val="0"/>
              <w:snapToGrid w:val="0"/>
              <w:spacing w:before="62" w:beforeLines="20" w:beforeAutospacing="0" w:after="62" w:afterLines="20" w:afterAutospacing="0" w:line="30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数字基座是继教育“三通两平台”后，作为当前教育新基建及数字化转型背景下，支撑教育信息化建设的教育专属操作系统。以人工智能、云计算、大数据技术为基础，通过一系列的工具、应用和服务，为区域、学校、机构提供一套开箱即用的新型教育数字化操作系统，帮助用户建标准、搭平台、盘数据、接应用，解决区域生态建设、均衡发展以及数据治理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rPr>
            </w:pPr>
            <w:r>
              <w:rPr>
                <w:rFonts w:hint="eastAsia" w:ascii="宋体" w:hAnsi="宋体" w:eastAsia="宋体"/>
                <w:sz w:val="20"/>
              </w:rPr>
              <w:t>C</w:t>
            </w:r>
            <w:r>
              <w:rPr>
                <w:rFonts w:ascii="宋体" w:hAnsi="宋体" w:eastAsia="宋体"/>
                <w:sz w:val="20"/>
              </w:rPr>
              <w:t>03</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cs="宋体"/>
                <w:color w:val="auto"/>
                <w:sz w:val="20"/>
              </w:rPr>
            </w:pPr>
            <w:r>
              <w:rPr>
                <w:rFonts w:ascii="宋体" w:hAnsi="宋体" w:eastAsia="宋体"/>
                <w:sz w:val="20"/>
              </w:rPr>
              <w:t>智慧课堂</w:t>
            </w:r>
          </w:p>
        </w:tc>
        <w:tc>
          <w:tcPr>
            <w:tcW w:w="5954" w:type="dxa"/>
            <w:shd w:val="clear" w:color="auto" w:fill="auto"/>
            <w:vAlign w:val="center"/>
          </w:tcPr>
          <w:p>
            <w:pPr>
              <w:pStyle w:val="6"/>
              <w:shd w:val="clear" w:color="auto" w:fill="FFFFFF"/>
              <w:adjustRightInd w:val="0"/>
              <w:snapToGrid w:val="0"/>
              <w:spacing w:before="93" w:beforeLines="30" w:beforeAutospacing="0" w:after="93" w:afterLines="30" w:afterAutospacing="0" w:line="32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sz w:val="20"/>
                <w:szCs w:val="20"/>
              </w:rPr>
              <w:t>科大讯飞智慧课堂，率先定义智慧课堂。以“发展学生核心素养，落实因材施教”为目标，围绕课前、课中、课后教学全场景，构建“云-台-端”整体架构，打通教与学全链路数据，充分发挥数字智能价值，推动学科智慧教学模式创新，打造教师精准引导学、学生个性自主学、全链路学情数据驱动下的深度教与学，有效实现课堂智能化、精准化、泛在化、学科化、自主化、生态化，助力规模化因材施教、减负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rPr>
            </w:pPr>
            <w:r>
              <w:rPr>
                <w:rFonts w:hint="eastAsia" w:ascii="宋体" w:hAnsi="宋体" w:eastAsia="宋体"/>
                <w:sz w:val="20"/>
              </w:rPr>
              <w:t>C</w:t>
            </w:r>
            <w:r>
              <w:rPr>
                <w:rFonts w:ascii="宋体" w:hAnsi="宋体" w:eastAsia="宋体"/>
                <w:sz w:val="20"/>
              </w:rPr>
              <w:t>04</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cs="宋体"/>
                <w:color w:val="auto"/>
                <w:sz w:val="20"/>
              </w:rPr>
            </w:pPr>
            <w:r>
              <w:rPr>
                <w:rFonts w:ascii="宋体" w:hAnsi="宋体" w:eastAsia="宋体"/>
                <w:sz w:val="20"/>
              </w:rPr>
              <w:t>讯飞智慧窗</w:t>
            </w:r>
          </w:p>
        </w:tc>
        <w:tc>
          <w:tcPr>
            <w:tcW w:w="5954" w:type="dxa"/>
            <w:shd w:val="clear" w:color="auto" w:fill="auto"/>
            <w:vAlign w:val="center"/>
          </w:tcPr>
          <w:p>
            <w:pPr>
              <w:pStyle w:val="6"/>
              <w:shd w:val="clear" w:color="auto" w:fill="FFFFFF"/>
              <w:adjustRightInd w:val="0"/>
              <w:snapToGrid w:val="0"/>
              <w:spacing w:before="93" w:beforeLines="30" w:beforeAutospacing="0" w:after="93" w:afterLines="30" w:afterAutospacing="0" w:line="320" w:lineRule="exact"/>
              <w:ind w:firstLine="400" w:firstLineChars="200"/>
              <w:rPr>
                <w:rFonts w:ascii="宋体" w:hAnsi="宋体" w:eastAsia="宋体" w:cs="宋体"/>
                <w:color w:val="000000" w:themeColor="text1"/>
                <w:sz w:val="20"/>
                <w:szCs w:val="20"/>
                <w14:textFill>
                  <w14:solidFill>
                    <w14:schemeClr w14:val="tx1"/>
                  </w14:solidFill>
                </w14:textFill>
              </w:rPr>
            </w:pPr>
            <w:r>
              <w:rPr>
                <w:rFonts w:ascii="宋体" w:hAnsi="宋体" w:eastAsia="宋体"/>
                <w:sz w:val="20"/>
                <w:szCs w:val="20"/>
              </w:rPr>
              <w:t>讯飞智慧窗专为数字化教学而生，在工业美学与人性化设计基础上带来教与学模式的颠覆性创新，创设极致视听空间，集数字化资源与工具、数字化板书与讲评、数字化互动与评价、数字化管理与运维于一体，打造绿色、高效、智能的数字化课堂中枢。产品由AI交互智能平板/AI智慧黑板/AI互联黑板、AI教学智能笔、课堂教学软件、智慧窗管家等软硬件共同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rPr>
            </w:pPr>
            <w:r>
              <w:rPr>
                <w:rFonts w:hint="eastAsia" w:ascii="宋体" w:hAnsi="宋体" w:eastAsia="宋体"/>
                <w:sz w:val="20"/>
              </w:rPr>
              <w:t>C</w:t>
            </w:r>
            <w:r>
              <w:rPr>
                <w:rFonts w:ascii="宋体" w:hAnsi="宋体" w:eastAsia="宋体"/>
                <w:sz w:val="20"/>
              </w:rPr>
              <w:t>05</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cs="宋体"/>
                <w:color w:val="auto"/>
                <w:sz w:val="20"/>
              </w:rPr>
            </w:pPr>
            <w:r>
              <w:rPr>
                <w:rFonts w:ascii="宋体" w:hAnsi="宋体" w:eastAsia="宋体"/>
                <w:sz w:val="20"/>
              </w:rPr>
              <w:t>大数据精准教学</w:t>
            </w:r>
          </w:p>
        </w:tc>
        <w:tc>
          <w:tcPr>
            <w:tcW w:w="5954" w:type="dxa"/>
            <w:shd w:val="clear" w:color="auto" w:fill="auto"/>
            <w:vAlign w:val="center"/>
          </w:tcPr>
          <w:p>
            <w:pPr>
              <w:pStyle w:val="6"/>
              <w:shd w:val="clear" w:color="auto" w:fill="FFFFFF"/>
              <w:adjustRightInd w:val="0"/>
              <w:snapToGrid w:val="0"/>
              <w:spacing w:before="93" w:beforeLines="30" w:beforeAutospacing="0" w:after="93" w:afterLines="30" w:afterAutospacing="0" w:line="32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大数据精准教学系统，基于科大讯飞人工智能核心技术，通过线上线下相融合的方式了解学生学情，构建以学习者为中心的学业评价体系，借助区校学业数据汇聚辅助的精准检测与高质量的资源推荐，帮助老师提升精准教学水平，帮助学生提升自主学习能力，帮助管理者依托数据及时分析、科学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rPr>
            </w:pPr>
            <w:r>
              <w:rPr>
                <w:rFonts w:hint="eastAsia" w:ascii="宋体" w:hAnsi="宋体" w:eastAsia="宋体"/>
                <w:sz w:val="20"/>
              </w:rPr>
              <w:t>C</w:t>
            </w:r>
            <w:r>
              <w:rPr>
                <w:rFonts w:ascii="宋体" w:hAnsi="宋体" w:eastAsia="宋体"/>
                <w:sz w:val="20"/>
              </w:rPr>
              <w:t>06</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cs="宋体"/>
                <w:color w:val="auto"/>
                <w:sz w:val="20"/>
              </w:rPr>
            </w:pPr>
            <w:r>
              <w:rPr>
                <w:rFonts w:ascii="宋体" w:hAnsi="宋体" w:eastAsia="宋体"/>
                <w:sz w:val="20"/>
              </w:rPr>
              <w:t>个性化学习手册</w:t>
            </w:r>
          </w:p>
        </w:tc>
        <w:tc>
          <w:tcPr>
            <w:tcW w:w="5954" w:type="dxa"/>
            <w:shd w:val="clear" w:color="auto" w:fill="auto"/>
            <w:vAlign w:val="center"/>
          </w:tcPr>
          <w:p>
            <w:pPr>
              <w:pStyle w:val="6"/>
              <w:shd w:val="clear" w:color="auto" w:fill="FFFFFF"/>
              <w:adjustRightInd w:val="0"/>
              <w:snapToGrid w:val="0"/>
              <w:spacing w:before="93" w:beforeLines="30" w:beforeAutospacing="0" w:after="93" w:afterLines="30" w:afterAutospacing="0" w:line="320" w:lineRule="exact"/>
              <w:ind w:firstLine="400" w:firstLineChars="200"/>
              <w:rPr>
                <w:rFonts w:ascii="宋体" w:hAnsi="宋体" w:eastAsia="宋体"/>
                <w:sz w:val="20"/>
                <w:szCs w:val="20"/>
              </w:rPr>
            </w:pPr>
            <w:r>
              <w:rPr>
                <w:rFonts w:ascii="宋体" w:hAnsi="宋体" w:eastAsia="宋体" w:cs="宋体"/>
                <w:color w:val="000000" w:themeColor="text1"/>
                <w:sz w:val="20"/>
                <w:szCs w:val="20"/>
                <w14:textFill>
                  <w14:solidFill>
                    <w14:schemeClr w14:val="tx1"/>
                  </w14:solidFill>
                </w14:textFill>
              </w:rPr>
              <w:t>个性化学习手册基于日常学业数据采集，通过人工智能和大数据技术，根据学生的不同学情，精准分析学生薄弱点，制定专属学习方案，实现个性化纠错和针对性巩固，帮助学生减轻学业负担、提高学习效率、提升学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rPr>
            </w:pPr>
            <w:r>
              <w:rPr>
                <w:rFonts w:hint="eastAsia" w:ascii="宋体" w:hAnsi="宋体" w:eastAsia="宋体"/>
                <w:sz w:val="20"/>
              </w:rPr>
              <w:t>C</w:t>
            </w:r>
            <w:r>
              <w:rPr>
                <w:rFonts w:ascii="宋体" w:hAnsi="宋体" w:eastAsia="宋体"/>
                <w:sz w:val="20"/>
              </w:rPr>
              <w:t>07</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cs="宋体"/>
                <w:color w:val="auto"/>
                <w:sz w:val="20"/>
              </w:rPr>
            </w:pPr>
            <w:r>
              <w:rPr>
                <w:rFonts w:hint="eastAsia" w:ascii="宋体" w:hAnsi="宋体" w:eastAsia="宋体" w:cs="宋体"/>
                <w:color w:val="auto"/>
                <w:sz w:val="20"/>
              </w:rPr>
              <w:t>课后服务综合解决方案</w:t>
            </w:r>
          </w:p>
        </w:tc>
        <w:tc>
          <w:tcPr>
            <w:tcW w:w="5954" w:type="dxa"/>
            <w:shd w:val="clear" w:color="auto" w:fill="auto"/>
            <w:vAlign w:val="center"/>
          </w:tcPr>
          <w:p>
            <w:pPr>
              <w:pStyle w:val="6"/>
              <w:shd w:val="clear" w:color="auto" w:fill="FFFFFF"/>
              <w:adjustRightInd w:val="0"/>
              <w:snapToGrid w:val="0"/>
              <w:spacing w:before="93" w:beforeLines="30" w:beforeAutospacing="0" w:after="93" w:afterLines="30" w:afterAutospacing="0" w:line="32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科大讯飞依托先进的人工智能技术，以大数据为支撑，构建一站式课后服务综合解决方案。方案契合中小学课后教学、管理的实际需求，深度融入区域教育管理、校园管理、教育监管、教育评价、教育服务等流程，为广大学生提供“线上+线下”高效课后托管服务，全方位支撑区域、学校课后服务高质量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rPr>
            </w:pPr>
            <w:r>
              <w:rPr>
                <w:rFonts w:hint="eastAsia" w:ascii="宋体" w:hAnsi="宋体" w:eastAsia="宋体"/>
                <w:sz w:val="20"/>
              </w:rPr>
              <w:t>C</w:t>
            </w:r>
            <w:r>
              <w:rPr>
                <w:rFonts w:ascii="宋体" w:hAnsi="宋体" w:eastAsia="宋体"/>
                <w:sz w:val="20"/>
              </w:rPr>
              <w:t>08</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cs="宋体"/>
                <w:color w:val="auto"/>
                <w:sz w:val="20"/>
              </w:rPr>
            </w:pPr>
            <w:r>
              <w:rPr>
                <w:rFonts w:hint="eastAsia" w:ascii="宋体" w:hAnsi="宋体" w:eastAsia="宋体" w:cs="宋体"/>
                <w:color w:val="auto"/>
                <w:sz w:val="20"/>
              </w:rPr>
              <w:t>人工智能创新教育</w:t>
            </w:r>
          </w:p>
        </w:tc>
        <w:tc>
          <w:tcPr>
            <w:tcW w:w="5954" w:type="dxa"/>
            <w:shd w:val="clear" w:color="auto" w:fill="auto"/>
            <w:vAlign w:val="center"/>
          </w:tcPr>
          <w:p>
            <w:pPr>
              <w:pStyle w:val="6"/>
              <w:shd w:val="clear" w:color="auto" w:fill="FFFFFF"/>
              <w:adjustRightInd w:val="0"/>
              <w:snapToGrid w:val="0"/>
              <w:spacing w:before="93" w:beforeLines="30" w:beforeAutospacing="0" w:after="93" w:afterLines="30" w:afterAutospacing="0" w:line="32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人工智能创新教育，通过在中小学课堂开展人工智能通识教育，培养中小学师生在人工智能方面的鉴赏力、理解力、应用力，并提供以“Al课程为核心，Al教具为基础，Al服务为保障”的人工智能创新教育整体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rPr>
            </w:pPr>
            <w:r>
              <w:rPr>
                <w:rFonts w:hint="eastAsia" w:ascii="宋体" w:hAnsi="宋体" w:eastAsia="宋体"/>
                <w:sz w:val="20"/>
              </w:rPr>
              <w:t>C</w:t>
            </w:r>
            <w:r>
              <w:rPr>
                <w:rFonts w:ascii="宋体" w:hAnsi="宋体" w:eastAsia="宋体"/>
                <w:sz w:val="20"/>
              </w:rPr>
              <w:t>09</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sz w:val="20"/>
              </w:rPr>
            </w:pPr>
            <w:r>
              <w:rPr>
                <w:rFonts w:hint="eastAsia" w:ascii="宋体" w:hAnsi="宋体" w:eastAsia="宋体"/>
                <w:sz w:val="20"/>
              </w:rPr>
              <w:t>智慧体育</w:t>
            </w:r>
          </w:p>
        </w:tc>
        <w:tc>
          <w:tcPr>
            <w:tcW w:w="5954" w:type="dxa"/>
            <w:shd w:val="clear" w:color="auto" w:fill="auto"/>
            <w:vAlign w:val="center"/>
          </w:tcPr>
          <w:p>
            <w:pPr>
              <w:pStyle w:val="6"/>
              <w:shd w:val="clear" w:color="auto" w:fill="FFFFFF"/>
              <w:adjustRightInd w:val="0"/>
              <w:snapToGrid w:val="0"/>
              <w:spacing w:before="93" w:beforeLines="30" w:beforeAutospacing="0" w:after="93" w:afterLines="30" w:afterAutospacing="0" w:line="32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科大讯飞智慧体育围绕“提升学生体质健康水平”的核心目标，打造智慧操场，覆盖六大应用场景，构建智慧体育新生态，贯穿学校体育教育全流程，实现“教、学、赛、练、测、考、评、管”一体化，解决体育教学运动密度不敢加、学练赛一体化实施难、区域学校体测和体育考试效率低、过程性量化评估难等问题，帮助学生了解自己的体质状态、实现健康成长，引导家长共同参与学生运动指导、习惯培养，促进学校体育数字化转型，服务体育强国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rPr>
            </w:pPr>
            <w:r>
              <w:rPr>
                <w:rFonts w:hint="eastAsia" w:ascii="宋体" w:hAnsi="宋体" w:eastAsia="宋体"/>
                <w:sz w:val="20"/>
              </w:rPr>
              <w:t>C</w:t>
            </w:r>
            <w:r>
              <w:rPr>
                <w:rFonts w:ascii="宋体" w:hAnsi="宋体" w:eastAsia="宋体"/>
                <w:sz w:val="20"/>
              </w:rPr>
              <w:t>10</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sz w:val="20"/>
              </w:rPr>
            </w:pPr>
            <w:r>
              <w:rPr>
                <w:rFonts w:hint="eastAsia" w:ascii="宋体" w:hAnsi="宋体" w:eastAsia="宋体"/>
                <w:sz w:val="20"/>
              </w:rPr>
              <w:t>智慧心育</w:t>
            </w:r>
          </w:p>
        </w:tc>
        <w:tc>
          <w:tcPr>
            <w:tcW w:w="5954" w:type="dxa"/>
            <w:shd w:val="clear" w:color="auto" w:fill="auto"/>
            <w:vAlign w:val="center"/>
          </w:tcPr>
          <w:p>
            <w:pPr>
              <w:pStyle w:val="6"/>
              <w:shd w:val="clear" w:color="auto" w:fill="FFFFFF"/>
              <w:adjustRightInd w:val="0"/>
              <w:snapToGrid w:val="0"/>
              <w:spacing w:before="124" w:beforeLines="40" w:beforeAutospacing="0" w:after="124" w:afterLines="40" w:afterAutospacing="0" w:line="32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科大讯飞智慧心育是一款服务于中小学心理健康教育的整体解决方案。方案引入北京师范大学心理学部、华东师范大学上海市心理健康与危机干预重点实验室、中国科学院心理研究所专家的研究成果，将定期心理普测与日常压力动态监测有机结合，更及时、更精准地发现问题。并将精选自近百位行业专家和一线心理名师的咨询辅导、课程教学及家校共育经验，精准推送给学生、教师和家长，全过程、多角色地解决问题，帮助区域和学校实现心育工作效率、质量双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rPr>
            </w:pPr>
            <w:r>
              <w:rPr>
                <w:rFonts w:hint="eastAsia" w:ascii="宋体" w:hAnsi="宋体" w:eastAsia="宋体"/>
                <w:sz w:val="20"/>
              </w:rPr>
              <w:t>C</w:t>
            </w:r>
            <w:r>
              <w:rPr>
                <w:rFonts w:ascii="宋体" w:hAnsi="宋体" w:eastAsia="宋体"/>
                <w:sz w:val="20"/>
              </w:rPr>
              <w:t>11</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sz w:val="20"/>
              </w:rPr>
            </w:pPr>
            <w:r>
              <w:rPr>
                <w:rFonts w:hint="eastAsia" w:ascii="宋体" w:hAnsi="宋体" w:eastAsia="宋体" w:cs="宋体"/>
                <w:color w:val="auto"/>
                <w:sz w:val="20"/>
              </w:rPr>
              <w:t>科大讯飞AI学习机</w:t>
            </w:r>
          </w:p>
        </w:tc>
        <w:tc>
          <w:tcPr>
            <w:tcW w:w="5954" w:type="dxa"/>
            <w:shd w:val="clear" w:color="auto" w:fill="auto"/>
            <w:vAlign w:val="center"/>
          </w:tcPr>
          <w:p>
            <w:pPr>
              <w:pStyle w:val="6"/>
              <w:shd w:val="clear" w:color="auto" w:fill="FFFFFF"/>
              <w:adjustRightInd w:val="0"/>
              <w:snapToGrid w:val="0"/>
              <w:spacing w:before="124" w:beforeLines="40" w:beforeAutospacing="0" w:after="124" w:afterLines="40" w:afterAutospacing="0" w:line="32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科大讯飞AI学习机面向小、初、高学生和家长，旨在通过多种AI技术在产品中的应用落地，给学生的自主学习提供AI辅导，覆盖预习、复习、备考、作业辅导等多场景，有效解决孩子学业提升慢、提升难，良好学习习惯难以养成以及家长辅导难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rPr>
            </w:pPr>
            <w:r>
              <w:rPr>
                <w:rFonts w:hint="eastAsia" w:ascii="宋体" w:hAnsi="宋体" w:eastAsia="宋体"/>
                <w:sz w:val="20"/>
              </w:rPr>
              <w:t>C</w:t>
            </w:r>
            <w:r>
              <w:rPr>
                <w:rFonts w:ascii="宋体" w:hAnsi="宋体" w:eastAsia="宋体"/>
                <w:sz w:val="20"/>
              </w:rPr>
              <w:t>12</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sz w:val="20"/>
              </w:rPr>
            </w:pPr>
            <w:r>
              <w:rPr>
                <w:rFonts w:hint="eastAsia" w:ascii="宋体" w:hAnsi="宋体" w:eastAsia="宋体"/>
                <w:sz w:val="20"/>
              </w:rPr>
              <w:t>英语听说智能测试系统</w:t>
            </w:r>
          </w:p>
        </w:tc>
        <w:tc>
          <w:tcPr>
            <w:tcW w:w="5954" w:type="dxa"/>
            <w:shd w:val="clear" w:color="auto" w:fill="auto"/>
            <w:vAlign w:val="center"/>
          </w:tcPr>
          <w:p>
            <w:pPr>
              <w:pStyle w:val="6"/>
              <w:shd w:val="clear" w:color="auto" w:fill="FFFFFF"/>
              <w:adjustRightInd w:val="0"/>
              <w:snapToGrid w:val="0"/>
              <w:spacing w:before="124" w:beforeLines="40" w:beforeAutospacing="0" w:after="124" w:afterLines="40" w:afterAutospacing="0" w:line="32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基于科大讯飞先进的智能语音评测引擎构建，以确保考试数据安全、考务组织高效、考试流程顺畅为核心，以满足中、高考英语学科口语及听力考试全业务开展为应用目标，提供集智能化考试技术平台、考试技术服务及听说考试专用硬件为一体的智能化测试产品及服务整体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shd w:val="clear" w:color="auto" w:fill="auto"/>
            <w:vAlign w:val="center"/>
          </w:tcPr>
          <w:p>
            <w:pPr>
              <w:adjustRightInd w:val="0"/>
              <w:snapToGrid w:val="0"/>
              <w:spacing w:before="124" w:beforeLines="40" w:after="124" w:afterLines="40" w:line="320" w:lineRule="exact"/>
              <w:jc w:val="center"/>
              <w:rPr>
                <w:rFonts w:ascii="宋体" w:hAnsi="宋体" w:eastAsia="宋体"/>
                <w:sz w:val="20"/>
              </w:rPr>
            </w:pPr>
            <w:r>
              <w:rPr>
                <w:rFonts w:hint="eastAsia" w:ascii="宋体" w:hAnsi="宋体" w:eastAsia="宋体"/>
                <w:sz w:val="20"/>
              </w:rPr>
              <w:t>C</w:t>
            </w:r>
            <w:r>
              <w:rPr>
                <w:rFonts w:ascii="宋体" w:hAnsi="宋体" w:eastAsia="宋体"/>
                <w:sz w:val="20"/>
              </w:rPr>
              <w:t>13</w:t>
            </w:r>
          </w:p>
        </w:tc>
        <w:tc>
          <w:tcPr>
            <w:tcW w:w="1701" w:type="dxa"/>
            <w:shd w:val="clear" w:color="auto" w:fill="auto"/>
            <w:vAlign w:val="center"/>
          </w:tcPr>
          <w:p>
            <w:pPr>
              <w:pStyle w:val="11"/>
              <w:adjustRightInd w:val="0"/>
              <w:snapToGrid w:val="0"/>
              <w:spacing w:before="124" w:beforeLines="40" w:after="124" w:afterLines="40" w:line="320" w:lineRule="exact"/>
              <w:ind w:left="0" w:firstLine="0" w:firstLineChars="0"/>
              <w:contextualSpacing w:val="0"/>
              <w:jc w:val="left"/>
              <w:rPr>
                <w:rFonts w:ascii="宋体" w:hAnsi="宋体" w:eastAsia="宋体"/>
                <w:sz w:val="20"/>
              </w:rPr>
            </w:pPr>
            <w:r>
              <w:rPr>
                <w:rFonts w:hint="eastAsia" w:ascii="宋体" w:hAnsi="宋体" w:eastAsia="宋体"/>
                <w:sz w:val="20"/>
              </w:rPr>
              <w:t>国家普通话水平智能测试系统</w:t>
            </w:r>
          </w:p>
        </w:tc>
        <w:tc>
          <w:tcPr>
            <w:tcW w:w="5954" w:type="dxa"/>
            <w:shd w:val="clear" w:color="auto" w:fill="auto"/>
            <w:vAlign w:val="center"/>
          </w:tcPr>
          <w:p>
            <w:pPr>
              <w:pStyle w:val="6"/>
              <w:shd w:val="clear" w:color="auto" w:fill="FFFFFF"/>
              <w:adjustRightInd w:val="0"/>
              <w:snapToGrid w:val="0"/>
              <w:spacing w:before="124" w:beforeLines="40" w:beforeAutospacing="0" w:after="124" w:afterLines="40" w:afterAutospacing="0" w:line="32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国家普通话水平智能测试系统是科大讯飞承担的国家语委“十五”重点科研项目成果，系统利用智能语音评测和人脸识别等技术，实现普通话水平智能评测和信息化管理，保障测试公平公正性，有助于大规模开展普通话水平测试。</w:t>
            </w:r>
          </w:p>
        </w:tc>
      </w:tr>
    </w:tbl>
    <w:p>
      <w:pPr>
        <w:pStyle w:val="2"/>
      </w:pPr>
    </w:p>
    <w:p>
      <w:pPr>
        <w:pStyle w:val="2"/>
      </w:pPr>
      <w:r>
        <w:rPr>
          <w:rFonts w:hint="eastAsia"/>
        </w:rPr>
        <w:t>四、课题申报说明</w:t>
      </w:r>
    </w:p>
    <w:p>
      <w:pPr>
        <w:pStyle w:val="2"/>
        <w:ind w:firstLine="48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 申请人须仔细阅读申请指南，按照指南详细填写申请书，填写不合要求的课题会按照格式不符合要求处理。</w:t>
      </w:r>
    </w:p>
    <w:p>
      <w:pPr>
        <w:pStyle w:val="2"/>
        <w:ind w:firstLine="48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 请各课题申请人按要求填写申请书（申请书中手机和邮箱必须填写），加盖学校公章及签字后扫描上传至：</w:t>
      </w:r>
      <w:r>
        <w:rPr>
          <w:rFonts w:asciiTheme="minorEastAsia" w:hAnsiTheme="minorEastAsia" w:eastAsiaTheme="minorEastAsia"/>
          <w:b w:val="0"/>
          <w:sz w:val="24"/>
          <w:szCs w:val="24"/>
        </w:rPr>
        <w:t>http://cxjj.cutech.edu.cn</w:t>
      </w:r>
      <w:r>
        <w:rPr>
          <w:rFonts w:hint="eastAsia" w:asciiTheme="minorEastAsia" w:hAnsiTheme="minorEastAsia" w:eastAsiaTheme="minorEastAsia"/>
          <w:b w:val="0"/>
          <w:sz w:val="24"/>
          <w:szCs w:val="24"/>
        </w:rPr>
        <w:t>；为方便评审，申请书扫描件请按以下命名规则命名：学校名称+申请人姓名。</w:t>
      </w:r>
    </w:p>
    <w:p>
      <w:pPr>
        <w:pStyle w:val="2"/>
        <w:ind w:firstLine="480"/>
        <w:rPr>
          <w:rFonts w:asciiTheme="minorEastAsia" w:hAnsiTheme="minorEastAsia" w:eastAsiaTheme="minorEastAsia"/>
          <w:b w:val="0"/>
          <w:sz w:val="24"/>
          <w:szCs w:val="24"/>
        </w:rPr>
      </w:pPr>
      <w:r>
        <w:rPr>
          <w:rFonts w:hint="eastAsia" w:asciiTheme="minorEastAsia" w:hAnsiTheme="minorEastAsia" w:eastAsiaTheme="minorEastAsia"/>
          <w:b w:val="0"/>
          <w:sz w:val="24"/>
          <w:szCs w:val="24"/>
          <w:lang w:val="en-US" w:eastAsia="zh-CN"/>
        </w:rPr>
        <w:t>3</w:t>
      </w:r>
      <w:r>
        <w:rPr>
          <w:rFonts w:hint="eastAsia" w:asciiTheme="minorEastAsia" w:hAnsiTheme="minorEastAsia" w:eastAsiaTheme="minorEastAsia"/>
          <w:b w:val="0"/>
          <w:sz w:val="24"/>
          <w:szCs w:val="24"/>
        </w:rPr>
        <w:t>. 课题的计划执行时间为2024年10</w:t>
      </w:r>
      <w:r>
        <w:rPr>
          <w:rFonts w:asciiTheme="minorEastAsia" w:hAnsiTheme="minorEastAsia" w:eastAsiaTheme="minorEastAsia"/>
          <w:b w:val="0"/>
          <w:sz w:val="24"/>
          <w:szCs w:val="24"/>
        </w:rPr>
        <w:t>月</w:t>
      </w:r>
      <w:r>
        <w:rPr>
          <w:rFonts w:hint="eastAsia" w:asciiTheme="minorEastAsia" w:hAnsiTheme="minorEastAsia" w:eastAsiaTheme="minorEastAsia"/>
          <w:b w:val="0"/>
          <w:sz w:val="24"/>
          <w:szCs w:val="24"/>
        </w:rPr>
        <w:t>15日～2025年10月15日，可根据课题复杂程度适度延长执行周期，最长不超过两年。</w:t>
      </w:r>
    </w:p>
    <w:p>
      <w:pPr>
        <w:pStyle w:val="2"/>
        <w:ind w:firstLine="480"/>
        <w:rPr>
          <w:rFonts w:asciiTheme="minorEastAsia" w:hAnsiTheme="minorEastAsia" w:eastAsiaTheme="minorEastAsia"/>
          <w:b w:val="0"/>
          <w:sz w:val="24"/>
          <w:szCs w:val="24"/>
        </w:rPr>
      </w:pPr>
      <w:r>
        <w:rPr>
          <w:rFonts w:hint="eastAsia" w:asciiTheme="minorEastAsia" w:hAnsiTheme="minorEastAsia" w:eastAsiaTheme="minorEastAsia"/>
          <w:b w:val="0"/>
          <w:color w:val="auto"/>
          <w:sz w:val="24"/>
          <w:szCs w:val="24"/>
          <w:lang w:val="en-US" w:eastAsia="zh-CN"/>
        </w:rPr>
        <w:t>4</w:t>
      </w:r>
      <w:r>
        <w:rPr>
          <w:rFonts w:hint="eastAsia" w:asciiTheme="minorEastAsia" w:hAnsiTheme="minorEastAsia" w:eastAsiaTheme="minorEastAsia"/>
          <w:b w:val="0"/>
          <w:color w:val="auto"/>
          <w:sz w:val="24"/>
          <w:szCs w:val="24"/>
        </w:rPr>
        <w:t xml:space="preserve">. </w:t>
      </w:r>
      <w:r>
        <w:rPr>
          <w:rFonts w:hint="eastAsia" w:asciiTheme="minorEastAsia" w:hAnsiTheme="minorEastAsia" w:eastAsiaTheme="minorEastAsia"/>
          <w:b w:val="0"/>
          <w:sz w:val="24"/>
          <w:szCs w:val="24"/>
        </w:rPr>
        <w:t>每位申报人限报一项课题。</w:t>
      </w:r>
    </w:p>
    <w:p>
      <w:pPr>
        <w:pStyle w:val="2"/>
        <w:ind w:firstLine="480"/>
        <w:rPr>
          <w:rFonts w:asciiTheme="minorEastAsia" w:hAnsiTheme="minorEastAsia" w:eastAsiaTheme="minorEastAsia"/>
          <w:b w:val="0"/>
          <w:sz w:val="24"/>
          <w:szCs w:val="24"/>
        </w:rPr>
      </w:pPr>
      <w:r>
        <w:rPr>
          <w:rFonts w:hint="eastAsia" w:asciiTheme="minorEastAsia" w:hAnsiTheme="minorEastAsia" w:eastAsiaTheme="minorEastAsia"/>
          <w:b w:val="0"/>
          <w:sz w:val="24"/>
          <w:szCs w:val="24"/>
          <w:lang w:val="en-US" w:eastAsia="zh-CN"/>
        </w:rPr>
        <w:t>5</w:t>
      </w:r>
      <w:r>
        <w:rPr>
          <w:rFonts w:asciiTheme="minorEastAsia" w:hAnsiTheme="minorEastAsia" w:eastAsiaTheme="minorEastAsia"/>
          <w:b w:val="0"/>
          <w:sz w:val="24"/>
          <w:szCs w:val="24"/>
        </w:rPr>
        <w:t xml:space="preserve">. </w:t>
      </w:r>
      <w:r>
        <w:rPr>
          <w:rFonts w:hint="eastAsia" w:asciiTheme="minorEastAsia" w:hAnsiTheme="minorEastAsia" w:eastAsiaTheme="minorEastAsia"/>
          <w:b w:val="0"/>
          <w:sz w:val="24"/>
          <w:szCs w:val="24"/>
        </w:rPr>
        <w:t>课题选题列表上的选题方向都不限定课题数量，但是如果存在内容重复的相似课题，专家组将根据课题组技术积累、课题方案、课题支撑条件等要素择优选择立项课题。</w:t>
      </w:r>
    </w:p>
    <w:p>
      <w:pPr>
        <w:pStyle w:val="2"/>
        <w:ind w:firstLine="480"/>
        <w:rPr>
          <w:rFonts w:asciiTheme="minorEastAsia" w:hAnsiTheme="minorEastAsia" w:eastAsiaTheme="minorEastAsia"/>
          <w:b w:val="0"/>
          <w:sz w:val="24"/>
          <w:szCs w:val="24"/>
        </w:rPr>
      </w:pPr>
      <w:r>
        <w:rPr>
          <w:rFonts w:hint="eastAsia" w:asciiTheme="minorEastAsia" w:hAnsiTheme="minorEastAsia" w:eastAsiaTheme="minorEastAsia"/>
          <w:b w:val="0"/>
          <w:sz w:val="24"/>
          <w:szCs w:val="24"/>
          <w:lang w:val="en-US" w:eastAsia="zh-CN"/>
        </w:rPr>
        <w:t>6</w:t>
      </w:r>
      <w:r>
        <w:rPr>
          <w:rFonts w:hint="eastAsia" w:asciiTheme="minorEastAsia" w:hAnsiTheme="minorEastAsia" w:eastAsiaTheme="minorEastAsia"/>
          <w:b w:val="0"/>
          <w:sz w:val="24"/>
          <w:szCs w:val="24"/>
        </w:rPr>
        <w:t>. 如果以联合课题组的形式申请课题，需要列明不同学校单位的课题任务。</w:t>
      </w:r>
    </w:p>
    <w:p>
      <w:pPr>
        <w:pStyle w:val="2"/>
        <w:ind w:firstLine="480"/>
        <w:rPr>
          <w:rFonts w:asciiTheme="minorEastAsia" w:hAnsiTheme="minorEastAsia" w:eastAsiaTheme="minorEastAsia"/>
          <w:b w:val="0"/>
          <w:sz w:val="24"/>
          <w:szCs w:val="24"/>
        </w:rPr>
      </w:pPr>
      <w:r>
        <w:rPr>
          <w:rFonts w:hint="eastAsia" w:asciiTheme="minorEastAsia" w:hAnsiTheme="minorEastAsia" w:eastAsiaTheme="minorEastAsia"/>
          <w:b w:val="0"/>
          <w:sz w:val="24"/>
          <w:szCs w:val="24"/>
          <w:lang w:val="en-US" w:eastAsia="zh-CN"/>
        </w:rPr>
        <w:t>7</w:t>
      </w:r>
      <w:bookmarkStart w:id="0" w:name="_GoBack"/>
      <w:bookmarkEnd w:id="0"/>
      <w:r>
        <w:rPr>
          <w:rFonts w:hint="eastAsia" w:asciiTheme="minorEastAsia" w:hAnsiTheme="minorEastAsia" w:eastAsiaTheme="minorEastAsia"/>
          <w:b w:val="0"/>
          <w:sz w:val="24"/>
          <w:szCs w:val="24"/>
        </w:rPr>
        <w:t>. 课题申请人无需向支持企业额外购买配套设备或软件。</w:t>
      </w:r>
    </w:p>
    <w:p>
      <w:pPr>
        <w:pStyle w:val="2"/>
      </w:pPr>
    </w:p>
    <w:p>
      <w:pPr>
        <w:pStyle w:val="2"/>
      </w:pPr>
      <w:r>
        <w:rPr>
          <w:rFonts w:hint="eastAsia"/>
        </w:rPr>
        <w:t>五、联系人及联系方式</w:t>
      </w:r>
    </w:p>
    <w:p>
      <w:pPr>
        <w:snapToGrid w:val="0"/>
        <w:spacing w:line="520" w:lineRule="exact"/>
        <w:ind w:firstLine="482" w:firstLineChars="200"/>
        <w:rPr>
          <w:sz w:val="24"/>
          <w:szCs w:val="28"/>
        </w:rPr>
      </w:pPr>
      <w:r>
        <w:rPr>
          <w:rFonts w:hint="eastAsia"/>
          <w:b/>
          <w:sz w:val="24"/>
          <w:szCs w:val="28"/>
        </w:rPr>
        <w:t>教育部高等学校科学研究发展中心联系人</w:t>
      </w:r>
      <w:r>
        <w:rPr>
          <w:rFonts w:hint="eastAsia"/>
          <w:sz w:val="24"/>
          <w:szCs w:val="28"/>
        </w:rPr>
        <w:t>：</w:t>
      </w:r>
    </w:p>
    <w:p>
      <w:pPr>
        <w:snapToGrid w:val="0"/>
        <w:spacing w:line="520" w:lineRule="exact"/>
        <w:ind w:firstLine="480" w:firstLineChars="200"/>
        <w:rPr>
          <w:sz w:val="24"/>
          <w:szCs w:val="28"/>
        </w:rPr>
      </w:pPr>
      <w:r>
        <w:rPr>
          <w:rFonts w:hint="eastAsia"/>
          <w:sz w:val="24"/>
          <w:szCs w:val="28"/>
        </w:rPr>
        <w:t xml:space="preserve">张 </w:t>
      </w:r>
      <w:r>
        <w:rPr>
          <w:sz w:val="24"/>
          <w:szCs w:val="28"/>
        </w:rPr>
        <w:t xml:space="preserve"> </w:t>
      </w:r>
      <w:r>
        <w:rPr>
          <w:rFonts w:hint="eastAsia"/>
          <w:sz w:val="24"/>
          <w:szCs w:val="28"/>
        </w:rPr>
        <w:t xml:space="preserve">杰   </w:t>
      </w:r>
      <w:r>
        <w:rPr>
          <w:sz w:val="24"/>
          <w:szCs w:val="28"/>
        </w:rPr>
        <w:t xml:space="preserve">            </w:t>
      </w:r>
      <w:r>
        <w:rPr>
          <w:rFonts w:hint="eastAsia"/>
          <w:sz w:val="24"/>
          <w:szCs w:val="28"/>
        </w:rPr>
        <w:t>电话：010-62514689</w:t>
      </w:r>
    </w:p>
    <w:p>
      <w:pPr>
        <w:snapToGrid w:val="0"/>
        <w:spacing w:line="520" w:lineRule="exact"/>
        <w:ind w:firstLine="482" w:firstLineChars="200"/>
        <w:rPr>
          <w:sz w:val="24"/>
          <w:szCs w:val="28"/>
        </w:rPr>
      </w:pPr>
      <w:r>
        <w:rPr>
          <w:rFonts w:hint="eastAsia"/>
          <w:b/>
          <w:sz w:val="24"/>
          <w:szCs w:val="28"/>
        </w:rPr>
        <w:t>科大讯飞股份有限公司联系人：</w:t>
      </w:r>
    </w:p>
    <w:p>
      <w:pPr>
        <w:snapToGrid w:val="0"/>
        <w:spacing w:line="520" w:lineRule="exact"/>
        <w:ind w:firstLine="480" w:firstLineChars="200"/>
        <w:rPr>
          <w:sz w:val="24"/>
          <w:szCs w:val="28"/>
        </w:rPr>
      </w:pPr>
      <w:r>
        <w:rPr>
          <w:rFonts w:hint="eastAsia"/>
          <w:sz w:val="24"/>
          <w:szCs w:val="28"/>
        </w:rPr>
        <w:t>A01-A03方向：</w:t>
      </w:r>
    </w:p>
    <w:p>
      <w:pPr>
        <w:snapToGrid w:val="0"/>
        <w:spacing w:line="520" w:lineRule="exact"/>
        <w:ind w:firstLine="480" w:firstLineChars="200"/>
        <w:rPr>
          <w:rFonts w:asciiTheme="majorEastAsia" w:hAnsiTheme="majorEastAsia" w:eastAsiaTheme="majorEastAsia"/>
          <w:color w:val="333333"/>
          <w:sz w:val="24"/>
          <w:szCs w:val="24"/>
          <w:shd w:val="clear" w:color="auto" w:fill="FFFFFF"/>
        </w:rPr>
      </w:pPr>
      <w:r>
        <w:rPr>
          <w:rFonts w:hint="eastAsia"/>
          <w:sz w:val="24"/>
          <w:szCs w:val="28"/>
        </w:rPr>
        <w:t>姬润果（全国）</w:t>
      </w:r>
      <w:r>
        <w:rPr>
          <w:sz w:val="24"/>
          <w:szCs w:val="28"/>
        </w:rPr>
        <w:t xml:space="preserve">       </w:t>
      </w:r>
      <w:r>
        <w:rPr>
          <w:rFonts w:hint="eastAsia"/>
          <w:sz w:val="24"/>
          <w:szCs w:val="28"/>
        </w:rPr>
        <w:t>电话：</w:t>
      </w:r>
      <w:r>
        <w:rPr>
          <w:rFonts w:hint="eastAsia" w:asciiTheme="majorEastAsia" w:hAnsiTheme="majorEastAsia" w:eastAsiaTheme="majorEastAsia"/>
          <w:color w:val="333333"/>
          <w:sz w:val="24"/>
          <w:szCs w:val="24"/>
          <w:shd w:val="clear" w:color="auto" w:fill="FFFFFF"/>
        </w:rPr>
        <w:t xml:space="preserve">010-83057669； </w:t>
      </w:r>
      <w:r>
        <w:rPr>
          <w:sz w:val="24"/>
          <w:szCs w:val="28"/>
        </w:rPr>
        <w:t>邮箱：</w:t>
      </w:r>
      <w:r>
        <w:rPr>
          <w:rFonts w:hint="eastAsia" w:asciiTheme="majorEastAsia" w:hAnsiTheme="majorEastAsia" w:eastAsiaTheme="majorEastAsia"/>
          <w:color w:val="333333"/>
          <w:sz w:val="24"/>
          <w:szCs w:val="24"/>
          <w:shd w:val="clear" w:color="auto" w:fill="FFFFFF"/>
        </w:rPr>
        <w:t>r</w:t>
      </w:r>
      <w:r>
        <w:rPr>
          <w:rFonts w:asciiTheme="majorEastAsia" w:hAnsiTheme="majorEastAsia" w:eastAsiaTheme="majorEastAsia"/>
          <w:color w:val="333333"/>
          <w:sz w:val="24"/>
          <w:szCs w:val="24"/>
          <w:shd w:val="clear" w:color="auto" w:fill="FFFFFF"/>
        </w:rPr>
        <w:t>gji2@iflytek.com</w:t>
      </w:r>
    </w:p>
    <w:p>
      <w:pPr>
        <w:spacing w:line="520" w:lineRule="exact"/>
        <w:ind w:firstLine="480" w:firstLineChars="200"/>
        <w:rPr>
          <w:sz w:val="24"/>
          <w:szCs w:val="28"/>
        </w:rPr>
      </w:pPr>
      <w:r>
        <w:rPr>
          <w:rFonts w:hint="eastAsia"/>
          <w:sz w:val="24"/>
          <w:szCs w:val="28"/>
        </w:rPr>
        <w:t xml:space="preserve">王 </w:t>
      </w:r>
      <w:r>
        <w:rPr>
          <w:sz w:val="24"/>
          <w:szCs w:val="28"/>
        </w:rPr>
        <w:t xml:space="preserve"> </w:t>
      </w:r>
      <w:r>
        <w:rPr>
          <w:rFonts w:hint="eastAsia"/>
          <w:sz w:val="24"/>
          <w:szCs w:val="28"/>
        </w:rPr>
        <w:t>珂（京津冀地区） 电话：</w:t>
      </w:r>
      <w:r>
        <w:rPr>
          <w:rFonts w:hint="eastAsia" w:asciiTheme="majorEastAsia" w:hAnsiTheme="majorEastAsia" w:eastAsiaTheme="majorEastAsia"/>
          <w:color w:val="333333"/>
          <w:sz w:val="24"/>
          <w:szCs w:val="24"/>
          <w:shd w:val="clear" w:color="auto" w:fill="FFFFFF"/>
        </w:rPr>
        <w:t xml:space="preserve">13810033218； </w:t>
      </w:r>
      <w:r>
        <w:rPr>
          <w:rFonts w:asciiTheme="majorEastAsia" w:hAnsiTheme="majorEastAsia" w:eastAsiaTheme="majorEastAsia"/>
          <w:color w:val="333333"/>
          <w:sz w:val="24"/>
          <w:szCs w:val="24"/>
          <w:shd w:val="clear" w:color="auto" w:fill="FFFFFF"/>
        </w:rPr>
        <w:t xml:space="preserve"> </w:t>
      </w:r>
      <w:r>
        <w:rPr>
          <w:rFonts w:hint="eastAsia" w:asciiTheme="majorEastAsia" w:hAnsiTheme="majorEastAsia" w:eastAsiaTheme="majorEastAsia"/>
          <w:color w:val="333333"/>
          <w:sz w:val="24"/>
          <w:szCs w:val="24"/>
          <w:shd w:val="clear" w:color="auto" w:fill="FFFFFF"/>
        </w:rPr>
        <w:t>邮箱：k</w:t>
      </w:r>
      <w:r>
        <w:rPr>
          <w:rFonts w:asciiTheme="majorEastAsia" w:hAnsiTheme="majorEastAsia" w:eastAsiaTheme="majorEastAsia"/>
          <w:color w:val="333333"/>
          <w:sz w:val="24"/>
          <w:szCs w:val="24"/>
          <w:shd w:val="clear" w:color="auto" w:fill="FFFFFF"/>
        </w:rPr>
        <w:t>ewang4@iflytek.com</w:t>
      </w:r>
    </w:p>
    <w:p>
      <w:pPr>
        <w:spacing w:line="520" w:lineRule="exact"/>
        <w:ind w:firstLine="480" w:firstLineChars="200"/>
        <w:rPr>
          <w:rFonts w:asciiTheme="majorEastAsia" w:hAnsiTheme="majorEastAsia" w:eastAsiaTheme="majorEastAsia"/>
          <w:color w:val="333333"/>
          <w:sz w:val="24"/>
          <w:szCs w:val="24"/>
          <w:shd w:val="clear" w:color="auto" w:fill="FFFFFF"/>
        </w:rPr>
      </w:pPr>
      <w:r>
        <w:rPr>
          <w:rFonts w:hint="eastAsia" w:asciiTheme="majorEastAsia" w:hAnsiTheme="majorEastAsia" w:eastAsiaTheme="majorEastAsia"/>
          <w:color w:val="333333"/>
          <w:sz w:val="24"/>
          <w:szCs w:val="24"/>
          <w:shd w:val="clear" w:color="auto" w:fill="FFFFFF"/>
        </w:rPr>
        <w:t xml:space="preserve">李征华（华南地区） </w:t>
      </w:r>
      <w:r>
        <w:rPr>
          <w:rFonts w:asciiTheme="majorEastAsia" w:hAnsiTheme="majorEastAsia" w:eastAsiaTheme="majorEastAsia"/>
          <w:color w:val="333333"/>
          <w:sz w:val="24"/>
          <w:szCs w:val="24"/>
          <w:shd w:val="clear" w:color="auto" w:fill="FFFFFF"/>
        </w:rPr>
        <w:t xml:space="preserve">  </w:t>
      </w:r>
      <w:r>
        <w:rPr>
          <w:rFonts w:hint="eastAsia" w:asciiTheme="majorEastAsia" w:hAnsiTheme="majorEastAsia" w:eastAsiaTheme="majorEastAsia"/>
          <w:color w:val="333333"/>
          <w:sz w:val="24"/>
          <w:szCs w:val="24"/>
          <w:shd w:val="clear" w:color="auto" w:fill="FFFFFF"/>
        </w:rPr>
        <w:t xml:space="preserve">电话：18927588359； </w:t>
      </w:r>
      <w:r>
        <w:rPr>
          <w:rFonts w:asciiTheme="majorEastAsia" w:hAnsiTheme="majorEastAsia" w:eastAsiaTheme="majorEastAsia"/>
          <w:color w:val="333333"/>
          <w:sz w:val="24"/>
          <w:szCs w:val="24"/>
          <w:shd w:val="clear" w:color="auto" w:fill="FFFFFF"/>
        </w:rPr>
        <w:t xml:space="preserve"> </w:t>
      </w:r>
      <w:r>
        <w:rPr>
          <w:rFonts w:hint="eastAsia" w:asciiTheme="majorEastAsia" w:hAnsiTheme="majorEastAsia" w:eastAsiaTheme="majorEastAsia"/>
          <w:color w:val="333333"/>
          <w:sz w:val="24"/>
          <w:szCs w:val="24"/>
          <w:shd w:val="clear" w:color="auto" w:fill="FFFFFF"/>
        </w:rPr>
        <w:t>邮箱：zhli17@iflytek.com</w:t>
      </w:r>
    </w:p>
    <w:p>
      <w:pPr>
        <w:spacing w:line="520" w:lineRule="exact"/>
        <w:ind w:firstLine="480" w:firstLineChars="200"/>
        <w:rPr>
          <w:rFonts w:asciiTheme="majorEastAsia" w:hAnsiTheme="majorEastAsia" w:eastAsiaTheme="majorEastAsia"/>
          <w:color w:val="333333"/>
          <w:sz w:val="24"/>
          <w:szCs w:val="24"/>
          <w:shd w:val="clear" w:color="auto" w:fill="FFFFFF"/>
        </w:rPr>
      </w:pPr>
      <w:r>
        <w:rPr>
          <w:rFonts w:hint="eastAsia" w:asciiTheme="majorEastAsia" w:hAnsiTheme="majorEastAsia" w:eastAsiaTheme="majorEastAsia"/>
          <w:color w:val="333333"/>
          <w:sz w:val="24"/>
          <w:szCs w:val="24"/>
          <w:shd w:val="clear" w:color="auto" w:fill="FFFFFF"/>
        </w:rPr>
        <w:t xml:space="preserve">阮志刚（东北地区） </w:t>
      </w:r>
      <w:r>
        <w:rPr>
          <w:rFonts w:asciiTheme="majorEastAsia" w:hAnsiTheme="majorEastAsia" w:eastAsiaTheme="majorEastAsia"/>
          <w:color w:val="333333"/>
          <w:sz w:val="24"/>
          <w:szCs w:val="24"/>
          <w:shd w:val="clear" w:color="auto" w:fill="FFFFFF"/>
        </w:rPr>
        <w:t xml:space="preserve">  </w:t>
      </w:r>
      <w:r>
        <w:rPr>
          <w:rFonts w:hint="eastAsia" w:asciiTheme="majorEastAsia" w:hAnsiTheme="majorEastAsia" w:eastAsiaTheme="majorEastAsia"/>
          <w:color w:val="333333"/>
          <w:sz w:val="24"/>
          <w:szCs w:val="24"/>
          <w:shd w:val="clear" w:color="auto" w:fill="FFFFFF"/>
        </w:rPr>
        <w:t xml:space="preserve">电话：13520114567； </w:t>
      </w:r>
      <w:r>
        <w:rPr>
          <w:rFonts w:asciiTheme="majorEastAsia" w:hAnsiTheme="majorEastAsia" w:eastAsiaTheme="majorEastAsia"/>
          <w:color w:val="333333"/>
          <w:sz w:val="24"/>
          <w:szCs w:val="24"/>
          <w:shd w:val="clear" w:color="auto" w:fill="FFFFFF"/>
        </w:rPr>
        <w:t xml:space="preserve"> </w:t>
      </w:r>
      <w:r>
        <w:rPr>
          <w:rFonts w:hint="eastAsia" w:asciiTheme="majorEastAsia" w:hAnsiTheme="majorEastAsia" w:eastAsiaTheme="majorEastAsia"/>
          <w:color w:val="333333"/>
          <w:sz w:val="24"/>
          <w:szCs w:val="24"/>
          <w:shd w:val="clear" w:color="auto" w:fill="FFFFFF"/>
        </w:rPr>
        <w:t>邮箱：z</w:t>
      </w:r>
      <w:r>
        <w:rPr>
          <w:rFonts w:asciiTheme="majorEastAsia" w:hAnsiTheme="majorEastAsia" w:eastAsiaTheme="majorEastAsia"/>
          <w:color w:val="333333"/>
          <w:sz w:val="24"/>
          <w:szCs w:val="24"/>
          <w:shd w:val="clear" w:color="auto" w:fill="FFFFFF"/>
        </w:rPr>
        <w:t>gruan@iflytek.com</w:t>
      </w:r>
    </w:p>
    <w:p>
      <w:pPr>
        <w:snapToGrid w:val="0"/>
        <w:spacing w:line="520" w:lineRule="exact"/>
        <w:ind w:firstLine="480" w:firstLineChars="200"/>
        <w:rPr>
          <w:iCs/>
          <w:sz w:val="24"/>
          <w:szCs w:val="28"/>
        </w:rPr>
      </w:pPr>
      <w:r>
        <w:rPr>
          <w:rFonts w:hint="eastAsia"/>
          <w:iCs/>
          <w:sz w:val="24"/>
          <w:szCs w:val="28"/>
        </w:rPr>
        <w:t xml:space="preserve">段鹏举（华东地区） </w:t>
      </w:r>
      <w:r>
        <w:rPr>
          <w:iCs/>
          <w:sz w:val="24"/>
          <w:szCs w:val="28"/>
        </w:rPr>
        <w:t xml:space="preserve">  </w:t>
      </w:r>
      <w:r>
        <w:rPr>
          <w:rFonts w:hint="eastAsia"/>
          <w:iCs/>
          <w:sz w:val="24"/>
          <w:szCs w:val="28"/>
        </w:rPr>
        <w:t>电话：</w:t>
      </w:r>
      <w:r>
        <w:rPr>
          <w:rFonts w:hint="eastAsia" w:asciiTheme="majorEastAsia" w:hAnsiTheme="majorEastAsia" w:eastAsiaTheme="majorEastAsia"/>
          <w:color w:val="333333"/>
          <w:sz w:val="24"/>
          <w:szCs w:val="24"/>
          <w:shd w:val="clear" w:color="auto" w:fill="FFFFFF"/>
        </w:rPr>
        <w:t xml:space="preserve">13699186766； </w:t>
      </w:r>
      <w:r>
        <w:rPr>
          <w:rFonts w:asciiTheme="majorEastAsia" w:hAnsiTheme="majorEastAsia" w:eastAsiaTheme="majorEastAsia"/>
          <w:color w:val="333333"/>
          <w:sz w:val="24"/>
          <w:szCs w:val="24"/>
          <w:shd w:val="clear" w:color="auto" w:fill="FFFFFF"/>
        </w:rPr>
        <w:t xml:space="preserve"> </w:t>
      </w:r>
      <w:r>
        <w:rPr>
          <w:rFonts w:hint="eastAsia" w:asciiTheme="majorEastAsia" w:hAnsiTheme="majorEastAsia" w:eastAsiaTheme="majorEastAsia"/>
          <w:color w:val="333333"/>
          <w:sz w:val="24"/>
          <w:szCs w:val="24"/>
          <w:shd w:val="clear" w:color="auto" w:fill="FFFFFF"/>
        </w:rPr>
        <w:t>邮箱：pjduan@iflytek.com</w:t>
      </w:r>
    </w:p>
    <w:p>
      <w:pPr>
        <w:snapToGrid w:val="0"/>
        <w:spacing w:line="520" w:lineRule="exact"/>
        <w:ind w:firstLine="480" w:firstLineChars="200"/>
        <w:rPr>
          <w:sz w:val="24"/>
          <w:szCs w:val="28"/>
        </w:rPr>
      </w:pPr>
      <w:r>
        <w:rPr>
          <w:rFonts w:hint="eastAsia"/>
          <w:sz w:val="24"/>
          <w:szCs w:val="28"/>
        </w:rPr>
        <w:t>A04方向：</w:t>
      </w:r>
    </w:p>
    <w:p>
      <w:pPr>
        <w:snapToGrid w:val="0"/>
        <w:spacing w:line="520" w:lineRule="exact"/>
        <w:ind w:firstLine="480" w:firstLineChars="200"/>
        <w:rPr>
          <w:rFonts w:asciiTheme="majorEastAsia" w:hAnsiTheme="majorEastAsia" w:eastAsiaTheme="majorEastAsia"/>
          <w:color w:val="333333"/>
          <w:sz w:val="24"/>
          <w:szCs w:val="24"/>
          <w:shd w:val="clear" w:color="auto" w:fill="FFFFFF"/>
        </w:rPr>
      </w:pPr>
      <w:r>
        <w:rPr>
          <w:rFonts w:hint="eastAsia"/>
          <w:sz w:val="24"/>
          <w:szCs w:val="28"/>
        </w:rPr>
        <w:t xml:space="preserve">张洪蛟（全国）     </w:t>
      </w:r>
      <w:r>
        <w:rPr>
          <w:sz w:val="24"/>
          <w:szCs w:val="28"/>
        </w:rPr>
        <w:t xml:space="preserve">  </w:t>
      </w:r>
      <w:r>
        <w:rPr>
          <w:rFonts w:hint="eastAsia" w:asciiTheme="majorEastAsia" w:hAnsiTheme="majorEastAsia" w:eastAsiaTheme="majorEastAsia"/>
          <w:color w:val="333333"/>
          <w:sz w:val="24"/>
          <w:szCs w:val="24"/>
          <w:shd w:val="clear" w:color="auto" w:fill="FFFFFF"/>
        </w:rPr>
        <w:t>电话：010-58572055； 邮箱：hjzhang23@iflytek.com</w:t>
      </w:r>
    </w:p>
    <w:sectPr>
      <w:pgSz w:w="11906" w:h="16838"/>
      <w:pgMar w:top="1440" w:right="1644" w:bottom="1440" w:left="164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hZjZkZWU5Mzg1ODQ3YTc2Y2E4NTA4Zjk1MDAwN2QifQ=="/>
  </w:docVars>
  <w:rsids>
    <w:rsidRoot w:val="4DB00C81"/>
    <w:rsid w:val="000C4D0B"/>
    <w:rsid w:val="000F7F74"/>
    <w:rsid w:val="00163656"/>
    <w:rsid w:val="001F7B9C"/>
    <w:rsid w:val="00263C34"/>
    <w:rsid w:val="00276576"/>
    <w:rsid w:val="00280A91"/>
    <w:rsid w:val="002C79A3"/>
    <w:rsid w:val="002D33A1"/>
    <w:rsid w:val="0030421C"/>
    <w:rsid w:val="003303F2"/>
    <w:rsid w:val="003A05A3"/>
    <w:rsid w:val="00411674"/>
    <w:rsid w:val="00435F38"/>
    <w:rsid w:val="0043659B"/>
    <w:rsid w:val="00490196"/>
    <w:rsid w:val="00493643"/>
    <w:rsid w:val="00590E21"/>
    <w:rsid w:val="0060270E"/>
    <w:rsid w:val="006E59F3"/>
    <w:rsid w:val="006F3FC3"/>
    <w:rsid w:val="00774FA9"/>
    <w:rsid w:val="00786E7A"/>
    <w:rsid w:val="00801E83"/>
    <w:rsid w:val="009347D7"/>
    <w:rsid w:val="00947507"/>
    <w:rsid w:val="00A64AF0"/>
    <w:rsid w:val="00AA3C77"/>
    <w:rsid w:val="00D12DEA"/>
    <w:rsid w:val="00D90395"/>
    <w:rsid w:val="00DE76DC"/>
    <w:rsid w:val="00F73A9F"/>
    <w:rsid w:val="00FC62D7"/>
    <w:rsid w:val="00FD7A13"/>
    <w:rsid w:val="0270753B"/>
    <w:rsid w:val="06E241B1"/>
    <w:rsid w:val="0870623F"/>
    <w:rsid w:val="09207C05"/>
    <w:rsid w:val="0AC43BFC"/>
    <w:rsid w:val="0BD14F70"/>
    <w:rsid w:val="0C5E1E2E"/>
    <w:rsid w:val="0D531267"/>
    <w:rsid w:val="0D786F20"/>
    <w:rsid w:val="0EDD528C"/>
    <w:rsid w:val="120B0362"/>
    <w:rsid w:val="13C01E06"/>
    <w:rsid w:val="14294AD0"/>
    <w:rsid w:val="152E4A94"/>
    <w:rsid w:val="15406575"/>
    <w:rsid w:val="16EF2001"/>
    <w:rsid w:val="18482B9D"/>
    <w:rsid w:val="1A0E09F0"/>
    <w:rsid w:val="1AEC2561"/>
    <w:rsid w:val="1B4D40AA"/>
    <w:rsid w:val="1D4E6941"/>
    <w:rsid w:val="1E0565AE"/>
    <w:rsid w:val="26B11081"/>
    <w:rsid w:val="281178FD"/>
    <w:rsid w:val="283A5839"/>
    <w:rsid w:val="2870156E"/>
    <w:rsid w:val="29E654E5"/>
    <w:rsid w:val="2AAE58D7"/>
    <w:rsid w:val="2DFE26D1"/>
    <w:rsid w:val="35920E87"/>
    <w:rsid w:val="36907D8F"/>
    <w:rsid w:val="36E730F7"/>
    <w:rsid w:val="395835DE"/>
    <w:rsid w:val="3AD44EE6"/>
    <w:rsid w:val="3B5F50F7"/>
    <w:rsid w:val="3E2241BA"/>
    <w:rsid w:val="3E506F79"/>
    <w:rsid w:val="425C5EED"/>
    <w:rsid w:val="43482915"/>
    <w:rsid w:val="444D0163"/>
    <w:rsid w:val="446B68BB"/>
    <w:rsid w:val="45140D01"/>
    <w:rsid w:val="45C424D3"/>
    <w:rsid w:val="46E92D5E"/>
    <w:rsid w:val="47971775"/>
    <w:rsid w:val="48855A71"/>
    <w:rsid w:val="4AF313B8"/>
    <w:rsid w:val="4D111FCA"/>
    <w:rsid w:val="4D137AF0"/>
    <w:rsid w:val="4D714816"/>
    <w:rsid w:val="4DB00C81"/>
    <w:rsid w:val="4DBC1F35"/>
    <w:rsid w:val="4F0022F6"/>
    <w:rsid w:val="4F0F2539"/>
    <w:rsid w:val="4FE707F9"/>
    <w:rsid w:val="50AF18DD"/>
    <w:rsid w:val="55992B5C"/>
    <w:rsid w:val="561843C9"/>
    <w:rsid w:val="571166BB"/>
    <w:rsid w:val="595C281E"/>
    <w:rsid w:val="5A4562A7"/>
    <w:rsid w:val="5CCE3A33"/>
    <w:rsid w:val="623C4F9B"/>
    <w:rsid w:val="670A38BA"/>
    <w:rsid w:val="676C00D0"/>
    <w:rsid w:val="69917D79"/>
    <w:rsid w:val="6C6A090B"/>
    <w:rsid w:val="6E9248C1"/>
    <w:rsid w:val="6F977CB5"/>
    <w:rsid w:val="720E0702"/>
    <w:rsid w:val="72C76B03"/>
    <w:rsid w:val="739015EB"/>
    <w:rsid w:val="76D161A2"/>
    <w:rsid w:val="7772528F"/>
    <w:rsid w:val="78320EC2"/>
    <w:rsid w:val="789E20B4"/>
    <w:rsid w:val="791D122B"/>
    <w:rsid w:val="7A036672"/>
    <w:rsid w:val="7CEC7892"/>
    <w:rsid w:val="7D3B25C7"/>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0"/>
    <w:pPr>
      <w:adjustRightInd w:val="0"/>
      <w:snapToGrid w:val="0"/>
      <w:spacing w:line="520" w:lineRule="exact"/>
      <w:ind w:firstLine="562" w:firstLineChars="200"/>
      <w:outlineLvl w:val="1"/>
    </w:pPr>
    <w:rPr>
      <w:rFonts w:ascii="黑体" w:hAnsi="黑体" w:eastAsia="黑体" w:cs="Times New Roman"/>
      <w:b/>
      <w:bCs/>
      <w:iCs/>
      <w:color w:val="000000" w:themeColor="text1"/>
      <w:kern w:val="0"/>
      <w:sz w:val="28"/>
      <w14:textFill>
        <w14:solidFill>
          <w14:schemeClr w14:val="tx1"/>
        </w14:solidFill>
      </w14:textFill>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uiPriority w:val="0"/>
    <w:rPr>
      <w:sz w:val="18"/>
      <w:szCs w:val="18"/>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026E5" w:themeColor="hyperlink"/>
      <w:u w:val="single"/>
      <w14:textFill>
        <w14:solidFill>
          <w14:schemeClr w14:val="hlink"/>
        </w14:solidFill>
      </w14:textFill>
    </w:rPr>
  </w:style>
  <w:style w:type="paragraph" w:styleId="11">
    <w:name w:val="List Paragraph"/>
    <w:basedOn w:val="1"/>
    <w:autoRedefine/>
    <w:qFormat/>
    <w:uiPriority w:val="34"/>
    <w:pPr>
      <w:spacing w:before="120" w:after="120"/>
      <w:ind w:left="720" w:firstLine="200" w:firstLineChars="200"/>
      <w:contextualSpacing/>
    </w:pPr>
    <w:rPr>
      <w:rFonts w:ascii="Times New Roman" w:hAnsi="Times New Roman" w:cs="Times New Roman"/>
      <w:iCs/>
      <w:color w:val="000000" w:themeColor="text1"/>
      <w:szCs w:val="20"/>
      <w14:textFill>
        <w14:solidFill>
          <w14:schemeClr w14:val="tx1"/>
        </w14:solidFill>
      </w14:textFill>
    </w:rPr>
  </w:style>
  <w:style w:type="character" w:customStyle="1" w:styleId="12">
    <w:name w:val="页眉 字符"/>
    <w:basedOn w:val="9"/>
    <w:link w:val="5"/>
    <w:autoRedefine/>
    <w:qFormat/>
    <w:uiPriority w:val="0"/>
    <w:rPr>
      <w:rFonts w:asciiTheme="minorHAnsi" w:hAnsiTheme="minorHAnsi" w:eastAsiaTheme="minorEastAsia" w:cstheme="minorBidi"/>
      <w:kern w:val="2"/>
      <w:sz w:val="18"/>
      <w:szCs w:val="18"/>
    </w:rPr>
  </w:style>
  <w:style w:type="character" w:customStyle="1" w:styleId="13">
    <w:name w:val="页脚 字符"/>
    <w:basedOn w:val="9"/>
    <w:link w:val="4"/>
    <w:autoRedefine/>
    <w:qFormat/>
    <w:uiPriority w:val="0"/>
    <w:rPr>
      <w:rFonts w:asciiTheme="minorHAnsi" w:hAnsiTheme="minorHAnsi" w:eastAsiaTheme="minorEastAsia" w:cstheme="minorBidi"/>
      <w:kern w:val="2"/>
      <w:sz w:val="18"/>
      <w:szCs w:val="18"/>
    </w:rPr>
  </w:style>
  <w:style w:type="character" w:customStyle="1" w:styleId="14">
    <w:name w:val="批注框文本 字符"/>
    <w:basedOn w:val="9"/>
    <w:link w:val="3"/>
    <w:autoRedefine/>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1126</Words>
  <Characters>6424</Characters>
  <Lines>53</Lines>
  <Paragraphs>15</Paragraphs>
  <TotalTime>27</TotalTime>
  <ScaleCrop>false</ScaleCrop>
  <LinksUpToDate>false</LinksUpToDate>
  <CharactersWithSpaces>7535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2024-03-22T08:29:00Z</dcterms:created>
  <dc:creator>小果子 </dc:creator>
  <cp:lastModifiedBy>Jolene</cp:lastModifiedBy>
  <cp:lastPrinted>2024-03-25T02:05:00Z</cp:lastPrinted>
  <dcterms:modified xsi:type="dcterms:W3CDTF">2024-04-16T07:35:31Z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3822DD2637FF451989A1A5AA4F12DB9B_13</vt:lpwstr>
  </property>
</Properties>
</file>