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cs="宋体"/>
          <w:b/>
          <w:color w:val="000000"/>
          <w:sz w:val="32"/>
          <w:szCs w:val="32"/>
        </w:rPr>
      </w:pPr>
      <w:r>
        <w:rPr>
          <w:rFonts w:hint="eastAsia" w:ascii="宋体" w:hAnsi="宋体" w:cs="宋体"/>
          <w:b/>
          <w:color w:val="000000"/>
          <w:sz w:val="32"/>
          <w:szCs w:val="32"/>
        </w:rPr>
        <w:t>高等职业学校中医学专业教学标准</w:t>
      </w:r>
    </w:p>
    <w:p>
      <w:pPr>
        <w:spacing w:line="360" w:lineRule="auto"/>
        <w:ind w:firstLine="482" w:firstLineChars="200"/>
        <w:outlineLvl w:val="0"/>
        <w:rPr>
          <w:rFonts w:hint="eastAsia" w:ascii="宋体" w:hAnsi="宋体" w:cs="宋体"/>
          <w:color w:val="000000"/>
          <w:sz w:val="28"/>
          <w:szCs w:val="28"/>
        </w:rPr>
      </w:pPr>
      <w:bookmarkStart w:id="0" w:name="_Toc53692849"/>
      <w:bookmarkStart w:id="1" w:name="_Toc2398"/>
      <w:bookmarkStart w:id="2" w:name="_Toc52046816"/>
      <w:bookmarkStart w:id="3" w:name="_Toc3108"/>
      <w:bookmarkStart w:id="4" w:name="_Hlk52052274"/>
      <w:bookmarkStart w:id="5" w:name="_Hlk52058656"/>
      <w:r>
        <w:rPr>
          <w:rFonts w:hint="eastAsia" w:ascii="宋体" w:hAnsi="宋体" w:cs="宋体"/>
          <w:b/>
          <w:bCs/>
          <w:color w:val="000000"/>
          <w:sz w:val="24"/>
          <w:szCs w:val="21"/>
        </w:rPr>
        <w:t>一、专业名称及代码</w:t>
      </w:r>
      <w:bookmarkEnd w:id="0"/>
      <w:bookmarkEnd w:id="1"/>
      <w:bookmarkEnd w:id="2"/>
      <w:bookmarkEnd w:id="3"/>
    </w:p>
    <w:bookmarkEnd w:id="4"/>
    <w:p>
      <w:pPr>
        <w:spacing w:line="500" w:lineRule="exact"/>
        <w:ind w:firstLine="480" w:firstLineChars="200"/>
        <w:rPr>
          <w:rFonts w:ascii="宋体" w:hAnsi="宋体" w:cs="宋体"/>
          <w:color w:val="000000"/>
          <w:sz w:val="24"/>
        </w:rPr>
      </w:pPr>
      <w:r>
        <w:rPr>
          <w:rFonts w:hint="eastAsia" w:ascii="宋体" w:hAnsi="宋体" w:cs="宋体"/>
          <w:color w:val="000000"/>
          <w:sz w:val="24"/>
        </w:rPr>
        <w:t>专业名称：</w:t>
      </w:r>
      <w:r>
        <w:rPr>
          <w:rFonts w:hint="eastAsia" w:ascii="宋体" w:hAnsi="宋体" w:cs="宋体"/>
          <w:sz w:val="24"/>
        </w:rPr>
        <w:t>中医学</w:t>
      </w:r>
    </w:p>
    <w:p>
      <w:pPr>
        <w:spacing w:line="500" w:lineRule="exact"/>
        <w:ind w:firstLine="480" w:firstLineChars="200"/>
        <w:rPr>
          <w:rFonts w:ascii="宋体" w:hAnsi="宋体" w:cs="宋体"/>
          <w:color w:val="000000"/>
          <w:sz w:val="24"/>
          <w:szCs w:val="21"/>
        </w:rPr>
      </w:pPr>
      <w:r>
        <w:rPr>
          <w:rFonts w:hint="eastAsia" w:ascii="宋体" w:hAnsi="宋体" w:cs="宋体"/>
          <w:color w:val="000000"/>
          <w:sz w:val="24"/>
        </w:rPr>
        <w:t>专业代码：</w:t>
      </w:r>
      <w:r>
        <w:rPr>
          <w:rFonts w:hint="eastAsia" w:ascii="宋体" w:hAnsi="宋体" w:cs="宋体"/>
          <w:sz w:val="24"/>
        </w:rPr>
        <w:t>520401</w:t>
      </w:r>
      <w:r>
        <w:rPr>
          <w:rFonts w:ascii="宋体" w:hAnsi="宋体" w:cs="宋体"/>
          <w:sz w:val="24"/>
        </w:rPr>
        <w:t>K</w:t>
      </w:r>
    </w:p>
    <w:p>
      <w:pPr>
        <w:spacing w:line="360" w:lineRule="auto"/>
        <w:ind w:firstLine="482" w:firstLineChars="200"/>
        <w:outlineLvl w:val="0"/>
        <w:rPr>
          <w:rFonts w:hint="eastAsia" w:ascii="宋体" w:hAnsi="宋体" w:cs="宋体"/>
          <w:b/>
          <w:bCs/>
          <w:color w:val="000000"/>
          <w:sz w:val="28"/>
          <w:szCs w:val="28"/>
        </w:rPr>
      </w:pPr>
      <w:bookmarkStart w:id="6" w:name="_Toc53692850"/>
      <w:bookmarkStart w:id="7" w:name="_Toc10385"/>
      <w:bookmarkStart w:id="8" w:name="_Toc52046817"/>
      <w:bookmarkStart w:id="9" w:name="_Toc3314"/>
      <w:bookmarkStart w:id="10" w:name="_Hlk52052318"/>
      <w:r>
        <w:rPr>
          <w:rFonts w:hint="eastAsia" w:ascii="宋体" w:hAnsi="宋体" w:cs="宋体"/>
          <w:b/>
          <w:bCs/>
          <w:color w:val="000000"/>
          <w:sz w:val="24"/>
          <w:szCs w:val="21"/>
        </w:rPr>
        <w:t>二、入学要求</w:t>
      </w:r>
      <w:bookmarkEnd w:id="6"/>
      <w:bookmarkEnd w:id="7"/>
      <w:bookmarkEnd w:id="8"/>
      <w:bookmarkEnd w:id="9"/>
      <w:r>
        <w:rPr>
          <w:rFonts w:hint="eastAsia" w:ascii="宋体" w:hAnsi="宋体" w:cs="宋体"/>
          <w:b/>
          <w:bCs/>
          <w:color w:val="000000"/>
          <w:sz w:val="28"/>
          <w:szCs w:val="28"/>
        </w:rPr>
        <w:t xml:space="preserve">  </w:t>
      </w:r>
    </w:p>
    <w:bookmarkEnd w:id="10"/>
    <w:p>
      <w:pPr>
        <w:spacing w:line="360" w:lineRule="auto"/>
        <w:ind w:firstLine="480" w:firstLineChars="200"/>
        <w:rPr>
          <w:rFonts w:hint="eastAsia" w:ascii="宋体" w:hAnsi="宋体" w:cs="宋体"/>
          <w:sz w:val="24"/>
        </w:rPr>
      </w:pPr>
      <w:bookmarkStart w:id="11" w:name="_Hlk53075659"/>
      <w:r>
        <w:rPr>
          <w:rFonts w:hint="eastAsia" w:ascii="宋体" w:hAnsi="宋体" w:cs="宋体"/>
          <w:sz w:val="24"/>
        </w:rPr>
        <w:t>高中阶段教育毕业生或具备同等学历者</w:t>
      </w:r>
      <w:r>
        <w:rPr>
          <w:rStyle w:val="7"/>
          <w:rFonts w:hint="eastAsia"/>
        </w:rPr>
        <w:t>、中等职业教育毕业生</w:t>
      </w:r>
    </w:p>
    <w:bookmarkEnd w:id="11"/>
    <w:p>
      <w:pPr>
        <w:spacing w:line="360" w:lineRule="auto"/>
        <w:ind w:firstLine="482" w:firstLineChars="200"/>
        <w:outlineLvl w:val="0"/>
        <w:rPr>
          <w:rFonts w:hint="eastAsia" w:ascii="宋体" w:hAnsi="宋体" w:cs="宋体"/>
          <w:b/>
          <w:bCs/>
          <w:color w:val="000000"/>
          <w:sz w:val="24"/>
          <w:szCs w:val="21"/>
        </w:rPr>
      </w:pPr>
      <w:bookmarkStart w:id="12" w:name="_Toc52046818"/>
      <w:bookmarkStart w:id="13" w:name="_Toc53692851"/>
      <w:bookmarkStart w:id="14" w:name="_Toc16093"/>
      <w:bookmarkStart w:id="15" w:name="_Toc19154"/>
      <w:r>
        <w:rPr>
          <w:rFonts w:hint="eastAsia" w:ascii="宋体" w:hAnsi="宋体" w:cs="宋体"/>
          <w:b/>
          <w:bCs/>
          <w:color w:val="000000"/>
          <w:sz w:val="24"/>
          <w:szCs w:val="21"/>
        </w:rPr>
        <w:t>三、修业年限</w:t>
      </w:r>
      <w:bookmarkEnd w:id="12"/>
      <w:bookmarkEnd w:id="13"/>
      <w:bookmarkEnd w:id="14"/>
      <w:bookmarkEnd w:id="15"/>
    </w:p>
    <w:p>
      <w:pPr>
        <w:spacing w:line="360" w:lineRule="auto"/>
        <w:rPr>
          <w:rFonts w:hint="eastAsia" w:ascii="宋体" w:hAnsi="宋体" w:cs="宋体"/>
          <w:color w:val="000000"/>
          <w:sz w:val="24"/>
        </w:rPr>
      </w:pPr>
      <w:r>
        <w:rPr>
          <w:rFonts w:hint="eastAsia" w:ascii="宋体" w:hAnsi="宋体" w:cs="宋体"/>
          <w:color w:val="000000"/>
          <w:sz w:val="24"/>
          <w:szCs w:val="21"/>
        </w:rPr>
        <w:t xml:space="preserve">    修业年限为</w:t>
      </w:r>
      <w:r>
        <w:rPr>
          <w:rFonts w:hint="eastAsia" w:ascii="宋体" w:hAnsi="宋体" w:cs="宋体"/>
          <w:color w:val="000000"/>
          <w:sz w:val="24"/>
        </w:rPr>
        <w:t xml:space="preserve">三年 </w:t>
      </w:r>
    </w:p>
    <w:p>
      <w:pPr>
        <w:spacing w:line="360" w:lineRule="auto"/>
        <w:ind w:firstLine="482" w:firstLineChars="200"/>
        <w:outlineLvl w:val="0"/>
        <w:rPr>
          <w:rFonts w:hint="eastAsia" w:ascii="宋体" w:hAnsi="宋体" w:cs="宋体"/>
          <w:b/>
          <w:bCs/>
          <w:color w:val="000000"/>
          <w:sz w:val="24"/>
          <w:szCs w:val="21"/>
        </w:rPr>
      </w:pPr>
      <w:bookmarkStart w:id="16" w:name="_Toc2888"/>
      <w:bookmarkStart w:id="17" w:name="_Toc52046819"/>
      <w:bookmarkStart w:id="18" w:name="_Toc178"/>
      <w:bookmarkStart w:id="19" w:name="_Toc53692852"/>
      <w:r>
        <w:rPr>
          <w:rFonts w:hint="eastAsia" w:ascii="宋体" w:hAnsi="宋体" w:cs="宋体"/>
          <w:b/>
          <w:bCs/>
          <w:color w:val="000000"/>
          <w:sz w:val="24"/>
          <w:szCs w:val="21"/>
        </w:rPr>
        <w:t>四、职业面向</w:t>
      </w:r>
      <w:bookmarkEnd w:id="16"/>
      <w:bookmarkEnd w:id="17"/>
      <w:bookmarkEnd w:id="18"/>
      <w:bookmarkEnd w:id="19"/>
    </w:p>
    <w:bookmarkEnd w:id="5"/>
    <w:p>
      <w:pPr>
        <w:spacing w:line="360" w:lineRule="auto"/>
        <w:ind w:firstLine="480" w:firstLineChars="200"/>
        <w:outlineLvl w:val="1"/>
        <w:rPr>
          <w:rFonts w:hint="eastAsia" w:ascii="宋体" w:hAnsi="宋体" w:cs="华文仿宋"/>
          <w:b w:val="0"/>
          <w:bCs/>
          <w:color w:val="000000"/>
          <w:sz w:val="24"/>
        </w:rPr>
      </w:pPr>
      <w:bookmarkStart w:id="20" w:name="_Toc16878"/>
      <w:r>
        <w:rPr>
          <w:rFonts w:hint="eastAsia" w:ascii="宋体" w:hAnsi="宋体" w:cs="华文仿宋"/>
          <w:b w:val="0"/>
          <w:bCs/>
          <w:color w:val="000000"/>
          <w:sz w:val="24"/>
        </w:rPr>
        <w:t>（一）服务面向</w:t>
      </w:r>
      <w:bookmarkEnd w:id="20"/>
    </w:p>
    <w:p>
      <w:pPr>
        <w:spacing w:line="360" w:lineRule="auto"/>
        <w:ind w:firstLine="3614" w:firstLineChars="1500"/>
        <w:jc w:val="left"/>
        <w:rPr>
          <w:rFonts w:hint="eastAsia" w:ascii="宋体" w:hAnsi="宋体" w:cs="宋体"/>
          <w:b/>
          <w:color w:val="000000"/>
          <w:sz w:val="24"/>
        </w:rPr>
      </w:pPr>
      <w:r>
        <w:rPr>
          <w:rFonts w:hint="eastAsia" w:ascii="宋体" w:hAnsi="宋体" w:cs="宋体"/>
          <w:b/>
          <w:color w:val="000000"/>
          <w:sz w:val="24"/>
        </w:rPr>
        <w:t>表1 中医学专业职业面向</w:t>
      </w:r>
    </w:p>
    <w:tbl>
      <w:tblPr>
        <w:tblStyle w:val="5"/>
        <w:tblW w:w="92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1350"/>
        <w:gridCol w:w="1268"/>
        <w:gridCol w:w="1474"/>
        <w:gridCol w:w="1701"/>
        <w:gridCol w:w="2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7" w:type="dxa"/>
            <w:shd w:val="clear" w:color="auto" w:fill="FFFFFF" w:themeFill="background1"/>
            <w:noWrap w:val="0"/>
            <w:vAlign w:val="center"/>
          </w:tcPr>
          <w:p>
            <w:pPr>
              <w:jc w:val="left"/>
              <w:rPr>
                <w:rFonts w:hint="eastAsia" w:ascii="宋体" w:hAnsi="宋体" w:cs="宋体"/>
                <w:b/>
                <w:bCs/>
                <w:color w:val="000000"/>
                <w:szCs w:val="21"/>
              </w:rPr>
            </w:pPr>
            <w:r>
              <w:rPr>
                <w:rFonts w:hint="eastAsia" w:ascii="宋体" w:hAnsi="宋体" w:cs="宋体"/>
                <w:b/>
                <w:bCs/>
                <w:color w:val="000000"/>
                <w:szCs w:val="21"/>
              </w:rPr>
              <w:t>所属专业大</w:t>
            </w:r>
          </w:p>
          <w:p>
            <w:pPr>
              <w:jc w:val="left"/>
              <w:rPr>
                <w:rFonts w:hint="eastAsia" w:ascii="宋体" w:hAnsi="宋体" w:cs="宋体"/>
                <w:b/>
                <w:bCs/>
                <w:color w:val="000000"/>
                <w:szCs w:val="21"/>
              </w:rPr>
            </w:pPr>
            <w:r>
              <w:rPr>
                <w:rFonts w:hint="eastAsia" w:ascii="宋体" w:hAnsi="宋体" w:cs="宋体"/>
                <w:b/>
                <w:bCs/>
                <w:color w:val="000000"/>
                <w:szCs w:val="21"/>
              </w:rPr>
              <w:t>（代码）</w:t>
            </w:r>
          </w:p>
        </w:tc>
        <w:tc>
          <w:tcPr>
            <w:tcW w:w="1350" w:type="dxa"/>
            <w:shd w:val="clear" w:color="auto" w:fill="FFFFFF" w:themeFill="background1"/>
            <w:noWrap w:val="0"/>
            <w:vAlign w:val="center"/>
          </w:tcPr>
          <w:p>
            <w:pPr>
              <w:jc w:val="left"/>
              <w:rPr>
                <w:rFonts w:hint="eastAsia" w:ascii="宋体" w:hAnsi="宋体" w:cs="宋体"/>
                <w:b/>
                <w:bCs/>
                <w:color w:val="000000"/>
                <w:szCs w:val="21"/>
              </w:rPr>
            </w:pPr>
            <w:r>
              <w:rPr>
                <w:rFonts w:hint="eastAsia" w:ascii="宋体" w:hAnsi="宋体" w:cs="宋体"/>
                <w:b/>
                <w:bCs/>
                <w:color w:val="000000"/>
                <w:szCs w:val="21"/>
              </w:rPr>
              <w:t>所属专业类</w:t>
            </w:r>
          </w:p>
          <w:p>
            <w:pPr>
              <w:jc w:val="left"/>
              <w:rPr>
                <w:rFonts w:hint="eastAsia" w:ascii="宋体" w:hAnsi="宋体" w:cs="宋体"/>
                <w:b/>
                <w:bCs/>
                <w:color w:val="000000"/>
                <w:szCs w:val="21"/>
              </w:rPr>
            </w:pPr>
            <w:r>
              <w:rPr>
                <w:rFonts w:hint="eastAsia" w:ascii="宋体" w:hAnsi="宋体" w:cs="宋体"/>
                <w:b/>
                <w:bCs/>
                <w:color w:val="000000"/>
                <w:szCs w:val="21"/>
              </w:rPr>
              <w:t>（代码）</w:t>
            </w:r>
          </w:p>
        </w:tc>
        <w:tc>
          <w:tcPr>
            <w:tcW w:w="1268" w:type="dxa"/>
            <w:shd w:val="clear" w:color="auto" w:fill="FFFFFF" w:themeFill="background1"/>
            <w:noWrap w:val="0"/>
            <w:vAlign w:val="center"/>
          </w:tcPr>
          <w:p>
            <w:pPr>
              <w:jc w:val="left"/>
              <w:rPr>
                <w:rFonts w:hint="eastAsia" w:ascii="宋体" w:hAnsi="宋体" w:cs="宋体"/>
                <w:b/>
                <w:bCs/>
                <w:color w:val="000000"/>
                <w:szCs w:val="21"/>
              </w:rPr>
            </w:pPr>
            <w:r>
              <w:rPr>
                <w:rFonts w:hint="eastAsia" w:ascii="宋体" w:hAnsi="宋体" w:cs="宋体"/>
                <w:b/>
                <w:bCs/>
                <w:color w:val="000000"/>
                <w:szCs w:val="21"/>
              </w:rPr>
              <w:t>对应行业</w:t>
            </w:r>
          </w:p>
          <w:p>
            <w:pPr>
              <w:jc w:val="left"/>
              <w:rPr>
                <w:rFonts w:hint="eastAsia" w:ascii="宋体" w:hAnsi="宋体" w:cs="宋体"/>
                <w:b/>
                <w:bCs/>
                <w:color w:val="000000"/>
                <w:szCs w:val="21"/>
              </w:rPr>
            </w:pPr>
            <w:r>
              <w:rPr>
                <w:rFonts w:hint="eastAsia" w:ascii="宋体" w:hAnsi="宋体" w:cs="宋体"/>
                <w:b/>
                <w:bCs/>
                <w:color w:val="000000"/>
                <w:szCs w:val="21"/>
              </w:rPr>
              <w:t>（代码）</w:t>
            </w:r>
          </w:p>
        </w:tc>
        <w:tc>
          <w:tcPr>
            <w:tcW w:w="1474" w:type="dxa"/>
            <w:shd w:val="clear" w:color="auto" w:fill="FFFFFF" w:themeFill="background1"/>
            <w:noWrap w:val="0"/>
            <w:vAlign w:val="center"/>
          </w:tcPr>
          <w:p>
            <w:pPr>
              <w:jc w:val="left"/>
              <w:rPr>
                <w:rFonts w:hint="eastAsia" w:ascii="宋体" w:hAnsi="宋体" w:cs="宋体"/>
                <w:b/>
                <w:bCs/>
                <w:color w:val="000000"/>
                <w:szCs w:val="21"/>
              </w:rPr>
            </w:pPr>
            <w:r>
              <w:rPr>
                <w:rFonts w:hint="eastAsia" w:ascii="宋体" w:hAnsi="宋体" w:cs="宋体"/>
                <w:b/>
                <w:bCs/>
                <w:color w:val="000000"/>
                <w:szCs w:val="21"/>
              </w:rPr>
              <w:t>主要职业类别</w:t>
            </w:r>
          </w:p>
          <w:p>
            <w:pPr>
              <w:jc w:val="left"/>
              <w:rPr>
                <w:rFonts w:hint="eastAsia" w:ascii="宋体" w:hAnsi="宋体" w:cs="宋体"/>
                <w:b/>
                <w:bCs/>
                <w:color w:val="000000"/>
                <w:szCs w:val="21"/>
              </w:rPr>
            </w:pPr>
            <w:r>
              <w:rPr>
                <w:rFonts w:hint="eastAsia" w:ascii="宋体" w:hAnsi="宋体" w:cs="宋体"/>
                <w:b/>
                <w:bCs/>
                <w:color w:val="000000"/>
                <w:szCs w:val="21"/>
              </w:rPr>
              <w:t>（代码）</w:t>
            </w:r>
          </w:p>
        </w:tc>
        <w:tc>
          <w:tcPr>
            <w:tcW w:w="1701" w:type="dxa"/>
            <w:shd w:val="clear" w:color="auto" w:fill="FFFFFF" w:themeFill="background1"/>
            <w:noWrap w:val="0"/>
            <w:vAlign w:val="center"/>
          </w:tcPr>
          <w:p>
            <w:pPr>
              <w:jc w:val="left"/>
              <w:rPr>
                <w:rFonts w:hint="eastAsia" w:ascii="宋体" w:hAnsi="宋体" w:cs="宋体"/>
                <w:b/>
                <w:bCs/>
                <w:color w:val="000000"/>
                <w:szCs w:val="21"/>
              </w:rPr>
            </w:pPr>
            <w:r>
              <w:rPr>
                <w:rFonts w:hint="eastAsia" w:ascii="宋体" w:hAnsi="宋体" w:cs="宋体"/>
                <w:b/>
                <w:bCs/>
                <w:color w:val="000000"/>
                <w:szCs w:val="21"/>
              </w:rPr>
              <w:t>主要岗位群或技术领域举例</w:t>
            </w:r>
          </w:p>
        </w:tc>
        <w:tc>
          <w:tcPr>
            <w:tcW w:w="2145" w:type="dxa"/>
            <w:shd w:val="clear" w:color="auto" w:fill="FFFFFF" w:themeFill="background1"/>
            <w:noWrap w:val="0"/>
            <w:vAlign w:val="top"/>
          </w:tcPr>
          <w:p>
            <w:pPr>
              <w:jc w:val="left"/>
              <w:rPr>
                <w:rFonts w:hint="eastAsia" w:ascii="宋体" w:hAnsi="宋体" w:cs="宋体"/>
                <w:b/>
                <w:bCs/>
                <w:color w:val="000000"/>
                <w:szCs w:val="21"/>
              </w:rPr>
            </w:pPr>
            <w:r>
              <w:rPr>
                <w:rFonts w:hint="eastAsia" w:ascii="宋体" w:hAnsi="宋体" w:cs="宋体"/>
                <w:b/>
                <w:bCs/>
                <w:color w:val="000000"/>
                <w:szCs w:val="21"/>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7" w:type="dxa"/>
            <w:noWrap w:val="0"/>
            <w:vAlign w:val="center"/>
          </w:tcPr>
          <w:p>
            <w:pPr>
              <w:adjustRightInd w:val="0"/>
              <w:snapToGrid w:val="0"/>
              <w:jc w:val="center"/>
              <w:rPr>
                <w:rFonts w:ascii="宋体" w:hAnsi="宋体" w:cs="宋体"/>
                <w:bCs/>
                <w:szCs w:val="21"/>
              </w:rPr>
            </w:pPr>
            <w:r>
              <w:rPr>
                <w:rFonts w:hint="eastAsia" w:ascii="宋体" w:hAnsi="宋体" w:cs="宋体"/>
                <w:bCs/>
                <w:szCs w:val="21"/>
              </w:rPr>
              <w:t>医药卫生</w:t>
            </w:r>
          </w:p>
          <w:p>
            <w:pPr>
              <w:adjustRightInd w:val="0"/>
              <w:snapToGrid w:val="0"/>
              <w:jc w:val="center"/>
              <w:rPr>
                <w:rFonts w:ascii="宋体" w:hAnsi="宋体" w:cs="宋体"/>
                <w:color w:val="000000"/>
                <w:szCs w:val="21"/>
              </w:rPr>
            </w:pPr>
            <w:r>
              <w:rPr>
                <w:rFonts w:hint="eastAsia" w:ascii="宋体" w:hAnsi="宋体" w:cs="宋体"/>
                <w:bCs/>
                <w:szCs w:val="21"/>
              </w:rPr>
              <w:t>大类（5</w:t>
            </w:r>
            <w:r>
              <w:rPr>
                <w:rFonts w:ascii="宋体" w:hAnsi="宋体" w:cs="宋体"/>
                <w:bCs/>
                <w:szCs w:val="21"/>
              </w:rPr>
              <w:t>2</w:t>
            </w:r>
            <w:r>
              <w:rPr>
                <w:rFonts w:hint="eastAsia" w:ascii="宋体" w:hAnsi="宋体" w:cs="宋体"/>
                <w:bCs/>
                <w:szCs w:val="21"/>
              </w:rPr>
              <w:t>）</w:t>
            </w:r>
          </w:p>
        </w:tc>
        <w:tc>
          <w:tcPr>
            <w:tcW w:w="1350" w:type="dxa"/>
            <w:noWrap w:val="0"/>
            <w:vAlign w:val="center"/>
          </w:tcPr>
          <w:p>
            <w:pPr>
              <w:adjustRightInd w:val="0"/>
              <w:snapToGrid w:val="0"/>
              <w:jc w:val="center"/>
              <w:rPr>
                <w:rFonts w:hint="eastAsia" w:ascii="宋体" w:hAnsi="宋体" w:cs="宋体"/>
                <w:color w:val="000000"/>
                <w:szCs w:val="21"/>
              </w:rPr>
            </w:pPr>
            <w:r>
              <w:rPr>
                <w:rFonts w:hint="eastAsia" w:ascii="宋体" w:hAnsi="宋体" w:cs="宋体"/>
                <w:bCs/>
                <w:szCs w:val="21"/>
              </w:rPr>
              <w:t>中医药类（</w:t>
            </w:r>
            <w:r>
              <w:rPr>
                <w:rFonts w:hint="eastAsia" w:ascii="宋体" w:hAnsi="宋体" w:cs="宋体"/>
                <w:bCs/>
                <w:color w:val="000000"/>
                <w:szCs w:val="21"/>
              </w:rPr>
              <w:t>5204</w:t>
            </w:r>
            <w:r>
              <w:rPr>
                <w:rFonts w:hint="eastAsia" w:ascii="宋体" w:hAnsi="宋体" w:cs="宋体"/>
                <w:bCs/>
                <w:szCs w:val="21"/>
              </w:rPr>
              <w:t>）</w:t>
            </w:r>
          </w:p>
        </w:tc>
        <w:tc>
          <w:tcPr>
            <w:tcW w:w="1268" w:type="dxa"/>
            <w:noWrap w:val="0"/>
            <w:vAlign w:val="center"/>
          </w:tcPr>
          <w:p>
            <w:pPr>
              <w:adjustRightInd w:val="0"/>
              <w:snapToGrid w:val="0"/>
              <w:jc w:val="left"/>
              <w:rPr>
                <w:rFonts w:ascii="宋体" w:hAnsi="宋体" w:cs="宋体"/>
                <w:bCs/>
                <w:szCs w:val="21"/>
              </w:rPr>
            </w:pPr>
            <w:r>
              <w:rPr>
                <w:rFonts w:hint="eastAsia" w:ascii="宋体" w:hAnsi="宋体" w:cs="宋体"/>
                <w:bCs/>
                <w:szCs w:val="21"/>
              </w:rPr>
              <w:t>卫生（</w:t>
            </w:r>
            <w:r>
              <w:rPr>
                <w:rFonts w:ascii="宋体" w:hAnsi="宋体" w:cs="宋体"/>
                <w:bCs/>
                <w:szCs w:val="21"/>
              </w:rPr>
              <w:t>84</w:t>
            </w:r>
            <w:r>
              <w:rPr>
                <w:rFonts w:hint="eastAsia" w:ascii="宋体" w:hAnsi="宋体" w:cs="宋体"/>
                <w:bCs/>
                <w:szCs w:val="21"/>
              </w:rPr>
              <w:t>）；</w:t>
            </w:r>
          </w:p>
          <w:p>
            <w:pPr>
              <w:adjustRightInd w:val="0"/>
              <w:snapToGrid w:val="0"/>
              <w:jc w:val="left"/>
              <w:rPr>
                <w:rFonts w:ascii="宋体" w:hAnsi="宋体" w:cs="宋体"/>
                <w:color w:val="000000"/>
                <w:szCs w:val="21"/>
              </w:rPr>
            </w:pPr>
            <w:r>
              <w:rPr>
                <w:rFonts w:hint="eastAsia" w:ascii="宋体" w:hAnsi="宋体" w:cs="宋体"/>
                <w:bCs/>
                <w:szCs w:val="21"/>
              </w:rPr>
              <w:t>社会工作（</w:t>
            </w:r>
            <w:r>
              <w:rPr>
                <w:rFonts w:ascii="宋体" w:hAnsi="宋体" w:cs="宋体"/>
                <w:bCs/>
                <w:szCs w:val="21"/>
              </w:rPr>
              <w:t>85</w:t>
            </w:r>
            <w:r>
              <w:rPr>
                <w:rFonts w:hint="eastAsia" w:ascii="宋体" w:hAnsi="宋体" w:cs="宋体"/>
                <w:bCs/>
                <w:szCs w:val="21"/>
              </w:rPr>
              <w:t>）</w:t>
            </w:r>
          </w:p>
        </w:tc>
        <w:tc>
          <w:tcPr>
            <w:tcW w:w="1474" w:type="dxa"/>
            <w:noWrap w:val="0"/>
            <w:vAlign w:val="center"/>
          </w:tcPr>
          <w:p>
            <w:pPr>
              <w:adjustRightInd w:val="0"/>
              <w:snapToGrid w:val="0"/>
              <w:rPr>
                <w:rFonts w:ascii="宋体" w:hAnsi="宋体" w:cs="宋体"/>
                <w:bCs/>
                <w:szCs w:val="21"/>
              </w:rPr>
            </w:pPr>
            <w:r>
              <w:rPr>
                <w:rFonts w:hint="eastAsia" w:ascii="宋体" w:hAnsi="宋体" w:cs="宋体"/>
                <w:bCs/>
                <w:szCs w:val="21"/>
              </w:rPr>
              <w:t>中医医师（</w:t>
            </w:r>
            <w:r>
              <w:rPr>
                <w:rFonts w:hint="eastAsia" w:ascii="宋体" w:hAnsi="宋体" w:cs="宋体"/>
                <w:bCs/>
                <w:szCs w:val="21"/>
                <w:lang w:val="en-US" w:eastAsia="zh-CN"/>
              </w:rPr>
              <w:t>2-05-02</w:t>
            </w:r>
            <w:r>
              <w:rPr>
                <w:rFonts w:hint="eastAsia" w:ascii="宋体" w:hAnsi="宋体" w:cs="宋体"/>
                <w:bCs/>
                <w:szCs w:val="21"/>
              </w:rPr>
              <w:t>）</w:t>
            </w:r>
          </w:p>
          <w:p>
            <w:pPr>
              <w:adjustRightInd w:val="0"/>
              <w:snapToGrid w:val="0"/>
              <w:rPr>
                <w:rFonts w:hint="eastAsia" w:ascii="宋体" w:hAnsi="宋体" w:cs="宋体"/>
                <w:color w:val="000000"/>
                <w:szCs w:val="21"/>
              </w:rPr>
            </w:pPr>
          </w:p>
        </w:tc>
        <w:tc>
          <w:tcPr>
            <w:tcW w:w="1701" w:type="dxa"/>
            <w:noWrap w:val="0"/>
            <w:vAlign w:val="top"/>
          </w:tcPr>
          <w:p>
            <w:pPr>
              <w:adjustRightInd w:val="0"/>
              <w:snapToGrid w:val="0"/>
              <w:jc w:val="left"/>
              <w:rPr>
                <w:rFonts w:hint="eastAsia" w:ascii="宋体" w:hAnsi="宋体" w:cs="宋体"/>
                <w:bCs/>
                <w:szCs w:val="21"/>
              </w:rPr>
            </w:pPr>
            <w:r>
              <w:rPr>
                <w:rFonts w:hint="eastAsia" w:ascii="宋体" w:hAnsi="宋体" w:cs="宋体"/>
                <w:bCs/>
                <w:szCs w:val="21"/>
              </w:rPr>
              <w:t>医疗；</w:t>
            </w:r>
          </w:p>
          <w:p>
            <w:pPr>
              <w:adjustRightInd w:val="0"/>
              <w:snapToGrid w:val="0"/>
              <w:jc w:val="left"/>
              <w:rPr>
                <w:rFonts w:hint="eastAsia" w:ascii="宋体" w:hAnsi="宋体" w:cs="宋体"/>
                <w:bCs/>
                <w:szCs w:val="21"/>
              </w:rPr>
            </w:pPr>
            <w:r>
              <w:rPr>
                <w:rFonts w:hint="eastAsia" w:ascii="宋体" w:hAnsi="宋体" w:cs="宋体"/>
                <w:bCs/>
                <w:szCs w:val="21"/>
              </w:rPr>
              <w:t>预防；</w:t>
            </w:r>
          </w:p>
          <w:p>
            <w:pPr>
              <w:adjustRightInd w:val="0"/>
              <w:snapToGrid w:val="0"/>
              <w:jc w:val="left"/>
              <w:rPr>
                <w:rFonts w:hint="eastAsia" w:ascii="宋体" w:hAnsi="宋体" w:cs="宋体"/>
                <w:bCs/>
                <w:szCs w:val="21"/>
              </w:rPr>
            </w:pPr>
            <w:r>
              <w:rPr>
                <w:rFonts w:hint="eastAsia" w:ascii="宋体" w:hAnsi="宋体" w:cs="宋体"/>
                <w:bCs/>
                <w:szCs w:val="21"/>
              </w:rPr>
              <w:t>康复；</w:t>
            </w:r>
          </w:p>
          <w:p>
            <w:pPr>
              <w:adjustRightInd w:val="0"/>
              <w:snapToGrid w:val="0"/>
              <w:jc w:val="left"/>
              <w:rPr>
                <w:rFonts w:hint="eastAsia" w:ascii="宋体" w:hAnsi="宋体" w:cs="宋体"/>
                <w:color w:val="000000"/>
                <w:szCs w:val="21"/>
              </w:rPr>
            </w:pPr>
            <w:r>
              <w:rPr>
                <w:rFonts w:hint="eastAsia" w:ascii="宋体" w:hAnsi="宋体" w:cs="宋体"/>
                <w:bCs/>
                <w:szCs w:val="21"/>
              </w:rPr>
              <w:t>养生保健</w:t>
            </w:r>
          </w:p>
        </w:tc>
        <w:tc>
          <w:tcPr>
            <w:tcW w:w="2145" w:type="dxa"/>
            <w:noWrap w:val="0"/>
            <w:vAlign w:val="top"/>
          </w:tcPr>
          <w:p>
            <w:pPr>
              <w:adjustRightInd w:val="0"/>
              <w:snapToGrid w:val="0"/>
              <w:jc w:val="left"/>
              <w:rPr>
                <w:rFonts w:hint="eastAsia" w:ascii="宋体" w:hAnsi="宋体" w:cs="宋体"/>
                <w:bCs/>
                <w:szCs w:val="21"/>
              </w:rPr>
            </w:pPr>
            <w:r>
              <w:rPr>
                <w:rFonts w:hint="eastAsia" w:ascii="宋体" w:hAnsi="宋体" w:cs="宋体"/>
                <w:bCs/>
                <w:szCs w:val="21"/>
              </w:rPr>
              <w:t>中医（执业/助理）医师；</w:t>
            </w:r>
          </w:p>
          <w:p>
            <w:pPr>
              <w:adjustRightInd w:val="0"/>
              <w:snapToGrid w:val="0"/>
              <w:jc w:val="left"/>
              <w:rPr>
                <w:rFonts w:hint="eastAsia" w:ascii="宋体" w:hAnsi="宋体" w:eastAsia="宋体" w:cs="宋体"/>
                <w:bCs/>
                <w:szCs w:val="21"/>
                <w:lang w:eastAsia="zh-CN"/>
              </w:rPr>
            </w:pPr>
            <w:r>
              <w:rPr>
                <w:rFonts w:hint="eastAsia" w:ascii="宋体" w:hAnsi="宋体" w:cs="宋体"/>
                <w:bCs/>
                <w:szCs w:val="21"/>
              </w:rPr>
              <w:t>中医全科助理医师</w:t>
            </w:r>
            <w:r>
              <w:rPr>
                <w:rFonts w:hint="eastAsia" w:ascii="宋体" w:hAnsi="宋体" w:cs="宋体"/>
                <w:bCs/>
                <w:szCs w:val="21"/>
                <w:lang w:eastAsia="zh-CN"/>
              </w:rPr>
              <w:t>；</w:t>
            </w:r>
          </w:p>
          <w:p>
            <w:pPr>
              <w:adjustRightInd w:val="0"/>
              <w:snapToGrid w:val="0"/>
              <w:jc w:val="left"/>
              <w:rPr>
                <w:rFonts w:hint="eastAsia" w:ascii="宋体" w:hAnsi="宋体" w:eastAsia="宋体" w:cs="宋体"/>
                <w:bCs/>
                <w:szCs w:val="21"/>
                <w:lang w:eastAsia="zh-CN"/>
              </w:rPr>
            </w:pPr>
            <w:r>
              <w:rPr>
                <w:rFonts w:hint="eastAsia" w:ascii="宋体" w:hAnsi="宋体" w:cs="宋体"/>
                <w:bCs/>
                <w:szCs w:val="21"/>
              </w:rPr>
              <w:t>小儿推拿师</w:t>
            </w:r>
            <w:r>
              <w:rPr>
                <w:rFonts w:hint="eastAsia" w:ascii="宋体" w:hAnsi="宋体" w:cs="宋体"/>
                <w:bCs/>
                <w:szCs w:val="21"/>
                <w:lang w:eastAsia="zh-CN"/>
              </w:rPr>
              <w:t>；</w:t>
            </w:r>
          </w:p>
          <w:p>
            <w:pPr>
              <w:adjustRightInd w:val="0"/>
              <w:snapToGrid w:val="0"/>
              <w:jc w:val="left"/>
              <w:rPr>
                <w:rFonts w:hint="eastAsia" w:ascii="宋体" w:hAnsi="宋体" w:eastAsia="宋体" w:cs="宋体"/>
                <w:bCs/>
                <w:szCs w:val="21"/>
                <w:lang w:eastAsia="zh-CN"/>
              </w:rPr>
            </w:pPr>
            <w:r>
              <w:rPr>
                <w:rFonts w:hint="eastAsia" w:ascii="宋体" w:hAnsi="宋体" w:cs="宋体"/>
                <w:bCs/>
                <w:szCs w:val="21"/>
              </w:rPr>
              <w:t>针灸治疗师</w:t>
            </w:r>
            <w:r>
              <w:rPr>
                <w:rFonts w:hint="eastAsia" w:ascii="宋体" w:hAnsi="宋体" w:cs="宋体"/>
                <w:bCs/>
                <w:szCs w:val="21"/>
                <w:lang w:eastAsia="zh-CN"/>
              </w:rPr>
              <w:t>；</w:t>
            </w:r>
          </w:p>
          <w:p>
            <w:pPr>
              <w:adjustRightInd w:val="0"/>
              <w:snapToGrid w:val="0"/>
              <w:jc w:val="left"/>
              <w:rPr>
                <w:rFonts w:hint="eastAsia" w:ascii="宋体" w:hAnsi="宋体" w:eastAsia="宋体" w:cs="宋体"/>
                <w:bCs/>
                <w:szCs w:val="21"/>
                <w:lang w:eastAsia="zh-CN"/>
              </w:rPr>
            </w:pPr>
            <w:r>
              <w:rPr>
                <w:rFonts w:hint="eastAsia" w:ascii="宋体" w:hAnsi="宋体" w:cs="宋体"/>
                <w:bCs/>
                <w:szCs w:val="21"/>
              </w:rPr>
              <w:t>中医保健调理师</w:t>
            </w:r>
            <w:r>
              <w:rPr>
                <w:rFonts w:hint="eastAsia" w:ascii="宋体" w:hAnsi="宋体" w:cs="宋体"/>
                <w:bCs/>
                <w:szCs w:val="21"/>
                <w:lang w:eastAsia="zh-CN"/>
              </w:rPr>
              <w:t>；</w:t>
            </w:r>
          </w:p>
          <w:p>
            <w:pPr>
              <w:adjustRightInd w:val="0"/>
              <w:snapToGrid w:val="0"/>
              <w:jc w:val="left"/>
              <w:rPr>
                <w:rFonts w:hint="eastAsia" w:ascii="宋体" w:hAnsi="宋体" w:eastAsia="宋体" w:cs="宋体"/>
                <w:color w:val="000000"/>
                <w:szCs w:val="21"/>
                <w:lang w:eastAsia="zh-CN"/>
              </w:rPr>
            </w:pPr>
            <w:r>
              <w:rPr>
                <w:rFonts w:hint="eastAsia" w:ascii="宋体" w:hAnsi="宋体" w:cs="宋体"/>
                <w:bCs/>
                <w:szCs w:val="21"/>
              </w:rPr>
              <w:t>健康管理师</w:t>
            </w:r>
            <w:r>
              <w:rPr>
                <w:rFonts w:hint="eastAsia" w:ascii="宋体" w:hAnsi="宋体" w:cs="宋体"/>
                <w:bCs/>
                <w:szCs w:val="21"/>
                <w:lang w:eastAsia="zh-CN"/>
              </w:rPr>
              <w:t>。</w:t>
            </w:r>
          </w:p>
        </w:tc>
      </w:tr>
    </w:tbl>
    <w:p>
      <w:pPr>
        <w:spacing w:line="360" w:lineRule="auto"/>
        <w:ind w:firstLine="480" w:firstLineChars="200"/>
        <w:outlineLvl w:val="1"/>
        <w:rPr>
          <w:rFonts w:ascii="宋体" w:hAnsi="宋体"/>
          <w:b w:val="0"/>
          <w:bCs/>
          <w:color w:val="000000"/>
          <w:kern w:val="0"/>
          <w:sz w:val="24"/>
        </w:rPr>
      </w:pPr>
      <w:bookmarkStart w:id="21" w:name="_Toc17147"/>
      <w:r>
        <w:rPr>
          <w:rFonts w:hint="eastAsia" w:ascii="宋体" w:hAnsi="宋体" w:cs="华文仿宋"/>
          <w:b w:val="0"/>
          <w:bCs/>
          <w:color w:val="000000"/>
          <w:sz w:val="24"/>
        </w:rPr>
        <w:t>（二）</w:t>
      </w:r>
      <w:r>
        <w:rPr>
          <w:rFonts w:hint="eastAsia" w:ascii="宋体" w:hAnsi="宋体"/>
          <w:b w:val="0"/>
          <w:bCs/>
          <w:color w:val="000000"/>
          <w:kern w:val="0"/>
          <w:sz w:val="24"/>
        </w:rPr>
        <w:t>职业岗位及职业能力分析</w:t>
      </w:r>
      <w:bookmarkEnd w:id="21"/>
    </w:p>
    <w:p>
      <w:pPr>
        <w:widowControl/>
        <w:jc w:val="center"/>
        <w:rPr>
          <w:rFonts w:ascii="宋体" w:hAnsi="宋体"/>
          <w:b/>
          <w:color w:val="000000"/>
          <w:kern w:val="0"/>
          <w:sz w:val="24"/>
        </w:rPr>
      </w:pPr>
      <w:r>
        <w:rPr>
          <w:rFonts w:hint="eastAsia" w:ascii="宋体" w:hAnsi="宋体"/>
          <w:b/>
          <w:color w:val="000000"/>
          <w:kern w:val="0"/>
          <w:sz w:val="24"/>
        </w:rPr>
        <w:t>表2　职业岗位及职业能力分析表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8"/>
        <w:gridCol w:w="1842"/>
        <w:gridCol w:w="2410"/>
        <w:gridCol w:w="23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1888" w:type="dxa"/>
            <w:vMerge w:val="restart"/>
            <w:shd w:val="clear" w:color="auto" w:fill="FFFFFF" w:themeFill="background1"/>
            <w:noWrap w:val="0"/>
            <w:vAlign w:val="center"/>
          </w:tcPr>
          <w:p>
            <w:pPr>
              <w:spacing w:line="320" w:lineRule="exact"/>
              <w:jc w:val="center"/>
              <w:rPr>
                <w:rFonts w:ascii="宋体" w:hAnsi="宋体"/>
                <w:b/>
                <w:color w:val="000000"/>
                <w:kern w:val="0"/>
                <w:szCs w:val="21"/>
              </w:rPr>
            </w:pPr>
            <w:r>
              <w:rPr>
                <w:rFonts w:hint="eastAsia" w:ascii="宋体" w:hAnsi="宋体"/>
                <w:b/>
                <w:color w:val="000000"/>
                <w:kern w:val="0"/>
                <w:szCs w:val="21"/>
              </w:rPr>
              <w:t>职业</w:t>
            </w:r>
          </w:p>
          <w:p>
            <w:pPr>
              <w:spacing w:line="320" w:lineRule="exact"/>
              <w:jc w:val="center"/>
              <w:rPr>
                <w:rFonts w:ascii="宋体" w:hAnsi="宋体"/>
                <w:b/>
                <w:color w:val="000000"/>
                <w:kern w:val="0"/>
                <w:szCs w:val="21"/>
              </w:rPr>
            </w:pPr>
            <w:r>
              <w:rPr>
                <w:rFonts w:hint="eastAsia" w:ascii="宋体" w:hAnsi="宋体"/>
                <w:b/>
                <w:color w:val="000000"/>
                <w:kern w:val="0"/>
                <w:szCs w:val="21"/>
              </w:rPr>
              <w:t>岗位</w:t>
            </w:r>
          </w:p>
        </w:tc>
        <w:tc>
          <w:tcPr>
            <w:tcW w:w="1842" w:type="dxa"/>
            <w:vMerge w:val="restart"/>
            <w:shd w:val="clear" w:color="auto" w:fill="FFFFFF" w:themeFill="background1"/>
            <w:noWrap w:val="0"/>
            <w:vAlign w:val="center"/>
          </w:tcPr>
          <w:p>
            <w:pPr>
              <w:spacing w:line="320" w:lineRule="exact"/>
              <w:jc w:val="center"/>
              <w:rPr>
                <w:rFonts w:ascii="宋体" w:hAnsi="宋体"/>
                <w:b/>
                <w:color w:val="000000"/>
                <w:kern w:val="0"/>
                <w:szCs w:val="21"/>
              </w:rPr>
            </w:pPr>
            <w:r>
              <w:rPr>
                <w:rFonts w:hint="eastAsia" w:ascii="宋体" w:hAnsi="宋体"/>
                <w:b/>
                <w:color w:val="000000"/>
                <w:kern w:val="0"/>
                <w:szCs w:val="21"/>
              </w:rPr>
              <w:t>典型工</w:t>
            </w:r>
          </w:p>
          <w:p>
            <w:pPr>
              <w:spacing w:line="320" w:lineRule="exact"/>
              <w:jc w:val="center"/>
              <w:rPr>
                <w:rFonts w:ascii="宋体" w:hAnsi="宋体"/>
                <w:b/>
                <w:color w:val="000000"/>
                <w:kern w:val="0"/>
                <w:szCs w:val="21"/>
              </w:rPr>
            </w:pPr>
            <w:r>
              <w:rPr>
                <w:rFonts w:hint="eastAsia" w:ascii="宋体" w:hAnsi="宋体"/>
                <w:b/>
                <w:color w:val="000000"/>
                <w:kern w:val="0"/>
                <w:szCs w:val="21"/>
              </w:rPr>
              <w:t>作任务</w:t>
            </w:r>
          </w:p>
        </w:tc>
        <w:tc>
          <w:tcPr>
            <w:tcW w:w="2410" w:type="dxa"/>
            <w:vMerge w:val="restart"/>
            <w:shd w:val="clear" w:color="auto" w:fill="FFFFFF" w:themeFill="background1"/>
            <w:noWrap w:val="0"/>
            <w:vAlign w:val="center"/>
          </w:tcPr>
          <w:p>
            <w:pPr>
              <w:spacing w:line="320" w:lineRule="exact"/>
              <w:jc w:val="center"/>
              <w:rPr>
                <w:rFonts w:ascii="宋体" w:hAnsi="宋体"/>
                <w:b/>
                <w:color w:val="000000"/>
                <w:kern w:val="0"/>
                <w:szCs w:val="21"/>
              </w:rPr>
            </w:pPr>
            <w:r>
              <w:rPr>
                <w:rFonts w:hint="eastAsia" w:ascii="宋体" w:hAnsi="宋体"/>
                <w:b/>
                <w:color w:val="000000"/>
                <w:kern w:val="0"/>
                <w:szCs w:val="21"/>
              </w:rPr>
              <w:t>职业能力要求</w:t>
            </w:r>
          </w:p>
        </w:tc>
        <w:tc>
          <w:tcPr>
            <w:tcW w:w="2388" w:type="dxa"/>
            <w:vMerge w:val="restart"/>
            <w:shd w:val="clear" w:color="auto" w:fill="FFFFFF" w:themeFill="background1"/>
            <w:noWrap w:val="0"/>
            <w:vAlign w:val="center"/>
          </w:tcPr>
          <w:p>
            <w:pPr>
              <w:spacing w:line="320" w:lineRule="exact"/>
              <w:jc w:val="center"/>
              <w:rPr>
                <w:rFonts w:ascii="宋体" w:hAnsi="宋体"/>
                <w:b/>
                <w:color w:val="000000"/>
                <w:kern w:val="0"/>
                <w:szCs w:val="21"/>
              </w:rPr>
            </w:pPr>
            <w:r>
              <w:rPr>
                <w:rFonts w:hint="eastAsia" w:ascii="宋体" w:hAnsi="宋体"/>
                <w:b/>
                <w:color w:val="000000"/>
                <w:kern w:val="0"/>
                <w:szCs w:val="21"/>
              </w:rPr>
              <w:t>对应职业能力课程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888" w:type="dxa"/>
            <w:vMerge w:val="continue"/>
            <w:shd w:val="clear" w:color="auto" w:fill="FFFFFF" w:themeFill="background1"/>
            <w:noWrap w:val="0"/>
            <w:vAlign w:val="center"/>
          </w:tcPr>
          <w:p>
            <w:pPr>
              <w:spacing w:line="320" w:lineRule="exact"/>
              <w:jc w:val="center"/>
              <w:rPr>
                <w:rFonts w:ascii="宋体" w:hAnsi="宋体"/>
                <w:b/>
                <w:color w:val="000000"/>
                <w:kern w:val="0"/>
                <w:szCs w:val="21"/>
              </w:rPr>
            </w:pPr>
          </w:p>
        </w:tc>
        <w:tc>
          <w:tcPr>
            <w:tcW w:w="1842" w:type="dxa"/>
            <w:vMerge w:val="continue"/>
            <w:shd w:val="clear" w:color="auto" w:fill="FFFFFF" w:themeFill="background1"/>
            <w:noWrap w:val="0"/>
            <w:vAlign w:val="center"/>
          </w:tcPr>
          <w:p>
            <w:pPr>
              <w:spacing w:line="320" w:lineRule="exact"/>
              <w:jc w:val="center"/>
              <w:rPr>
                <w:rFonts w:ascii="宋体" w:hAnsi="宋体"/>
                <w:b/>
                <w:color w:val="000000"/>
                <w:kern w:val="0"/>
                <w:szCs w:val="21"/>
              </w:rPr>
            </w:pPr>
          </w:p>
        </w:tc>
        <w:tc>
          <w:tcPr>
            <w:tcW w:w="2410" w:type="dxa"/>
            <w:vMerge w:val="continue"/>
            <w:shd w:val="clear" w:color="auto" w:fill="FFFFFF" w:themeFill="background1"/>
            <w:noWrap w:val="0"/>
            <w:vAlign w:val="center"/>
          </w:tcPr>
          <w:p>
            <w:pPr>
              <w:spacing w:line="320" w:lineRule="exact"/>
              <w:jc w:val="center"/>
              <w:rPr>
                <w:rFonts w:ascii="宋体" w:hAnsi="宋体"/>
                <w:b/>
                <w:color w:val="000000"/>
                <w:kern w:val="0"/>
                <w:szCs w:val="21"/>
              </w:rPr>
            </w:pPr>
          </w:p>
        </w:tc>
        <w:tc>
          <w:tcPr>
            <w:tcW w:w="2388" w:type="dxa"/>
            <w:vMerge w:val="continue"/>
            <w:shd w:val="clear" w:color="auto" w:fill="FFFFFF" w:themeFill="background1"/>
            <w:noWrap w:val="0"/>
            <w:vAlign w:val="center"/>
          </w:tcPr>
          <w:p>
            <w:pPr>
              <w:spacing w:line="320" w:lineRule="exact"/>
              <w:jc w:val="center"/>
              <w:rPr>
                <w:rFonts w:ascii="宋体" w:hAnsi="宋体"/>
                <w:b/>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1888" w:type="dxa"/>
            <w:vMerge w:val="restart"/>
            <w:noWrap w:val="0"/>
            <w:vAlign w:val="center"/>
          </w:tcPr>
          <w:p>
            <w:pPr>
              <w:spacing w:line="320" w:lineRule="exact"/>
              <w:jc w:val="center"/>
              <w:rPr>
                <w:rFonts w:hint="eastAsia" w:ascii="宋体" w:hAnsi="宋体" w:cs="宋体"/>
                <w:bCs/>
                <w:szCs w:val="21"/>
              </w:rPr>
            </w:pPr>
            <w:r>
              <w:rPr>
                <w:rFonts w:hint="eastAsia" w:ascii="宋体" w:hAnsi="宋体" w:cs="宋体"/>
                <w:bCs/>
                <w:szCs w:val="21"/>
              </w:rPr>
              <w:t>中医执业助理</w:t>
            </w:r>
          </w:p>
          <w:p>
            <w:pPr>
              <w:spacing w:line="320" w:lineRule="exact"/>
              <w:jc w:val="center"/>
              <w:rPr>
                <w:rFonts w:ascii="宋体" w:hAnsi="宋体"/>
                <w:color w:val="000000"/>
                <w:kern w:val="0"/>
                <w:szCs w:val="21"/>
              </w:rPr>
            </w:pPr>
            <w:r>
              <w:rPr>
                <w:rFonts w:hint="eastAsia" w:ascii="宋体" w:hAnsi="宋体" w:cs="宋体"/>
                <w:bCs/>
                <w:szCs w:val="21"/>
              </w:rPr>
              <w:t>医师</w:t>
            </w:r>
          </w:p>
        </w:tc>
        <w:tc>
          <w:tcPr>
            <w:tcW w:w="1842" w:type="dxa"/>
            <w:vMerge w:val="restart"/>
            <w:noWrap w:val="0"/>
            <w:vAlign w:val="top"/>
          </w:tcPr>
          <w:p>
            <w:pPr>
              <w:rPr>
                <w:rFonts w:hint="eastAsia"/>
              </w:rPr>
            </w:pPr>
          </w:p>
          <w:p>
            <w:pPr>
              <w:rPr>
                <w:rFonts w:hint="eastAsia"/>
              </w:rPr>
            </w:pPr>
          </w:p>
          <w:p>
            <w:pPr>
              <w:rPr>
                <w:rFonts w:hint="eastAsia"/>
              </w:rPr>
            </w:pPr>
            <w:r>
              <w:rPr>
                <w:rFonts w:hint="eastAsia"/>
              </w:rPr>
              <w:t>分管病床、担任值班、出诊、抢救等床前工作，新毕业的医师实行3年24小时住院医生负责制。 </w:t>
            </w:r>
          </w:p>
          <w:p>
            <w:pPr>
              <w:rPr>
                <w:rFonts w:ascii="宋体" w:hAnsi="宋体"/>
                <w:color w:val="000000"/>
                <w:kern w:val="0"/>
                <w:szCs w:val="21"/>
              </w:rPr>
            </w:pPr>
          </w:p>
        </w:tc>
        <w:tc>
          <w:tcPr>
            <w:tcW w:w="2410" w:type="dxa"/>
            <w:vMerge w:val="restart"/>
            <w:noWrap w:val="0"/>
            <w:vAlign w:val="top"/>
          </w:tcPr>
          <w:p>
            <w:pPr>
              <w:spacing w:line="320" w:lineRule="exact"/>
              <w:rPr>
                <w:rFonts w:hint="eastAsia"/>
              </w:rPr>
            </w:pPr>
          </w:p>
          <w:p>
            <w:pPr>
              <w:spacing w:line="320" w:lineRule="exact"/>
              <w:rPr>
                <w:rFonts w:hint="eastAsia"/>
              </w:rPr>
            </w:pPr>
          </w:p>
          <w:p>
            <w:pPr>
              <w:spacing w:line="320" w:lineRule="exact"/>
              <w:rPr>
                <w:rFonts w:ascii="宋体" w:hAnsi="宋体"/>
                <w:color w:val="000000"/>
                <w:kern w:val="0"/>
                <w:szCs w:val="21"/>
              </w:rPr>
            </w:pPr>
            <w:r>
              <w:rPr>
                <w:rFonts w:hint="eastAsia"/>
              </w:rPr>
              <w:t>按时完成检诊、查房、医疗文件的书写和治疗工作，对危重病应加强监护，积极抢救，并及时向上级医生汇报。</w:t>
            </w:r>
          </w:p>
        </w:tc>
        <w:tc>
          <w:tcPr>
            <w:tcW w:w="2388" w:type="dxa"/>
            <w:vMerge w:val="restart"/>
            <w:noWrap w:val="0"/>
            <w:vAlign w:val="top"/>
          </w:tcPr>
          <w:p>
            <w:pPr>
              <w:rPr>
                <w:rFonts w:hint="eastAsia"/>
              </w:rPr>
            </w:pPr>
            <w:r>
              <w:rPr>
                <w:rFonts w:hint="eastAsia"/>
              </w:rPr>
              <w:t>人体解剖</w:t>
            </w:r>
            <w:r>
              <w:rPr>
                <w:rFonts w:hint="eastAsia"/>
                <w:lang w:val="en-US" w:eastAsia="zh-CN"/>
              </w:rPr>
              <w:t>与组织胚胎</w:t>
            </w:r>
            <w:r>
              <w:rPr>
                <w:rFonts w:hint="eastAsia"/>
              </w:rPr>
              <w:t>学</w:t>
            </w:r>
          </w:p>
          <w:p>
            <w:pPr>
              <w:rPr>
                <w:rFonts w:hint="eastAsia"/>
              </w:rPr>
            </w:pPr>
            <w:r>
              <w:rPr>
                <w:rFonts w:hint="eastAsia"/>
              </w:rPr>
              <w:t>生理学</w:t>
            </w:r>
          </w:p>
          <w:p>
            <w:pPr>
              <w:rPr>
                <w:rFonts w:hint="eastAsia"/>
              </w:rPr>
            </w:pPr>
            <w:r>
              <w:rPr>
                <w:rFonts w:hint="eastAsia"/>
              </w:rPr>
              <w:t>病理学</w:t>
            </w:r>
          </w:p>
          <w:p>
            <w:pPr>
              <w:rPr>
                <w:rFonts w:hint="eastAsia"/>
              </w:rPr>
            </w:pPr>
            <w:r>
              <w:rPr>
                <w:rFonts w:hint="eastAsia"/>
              </w:rPr>
              <w:t>药理学</w:t>
            </w:r>
          </w:p>
          <w:p>
            <w:pPr>
              <w:rPr>
                <w:rFonts w:hint="eastAsia"/>
              </w:rPr>
            </w:pPr>
            <w:r>
              <w:rPr>
                <w:rFonts w:hint="eastAsia"/>
              </w:rPr>
              <w:t>中医基础</w:t>
            </w:r>
            <w:r>
              <w:rPr>
                <w:rFonts w:hint="eastAsia"/>
                <w:lang w:val="en-US" w:eastAsia="zh-CN"/>
              </w:rPr>
              <w:t>理</w:t>
            </w:r>
            <w:r>
              <w:rPr>
                <w:rFonts w:hint="eastAsia"/>
              </w:rPr>
              <w:t>论</w:t>
            </w:r>
          </w:p>
          <w:p>
            <w:pPr>
              <w:rPr>
                <w:rFonts w:hint="eastAsia"/>
              </w:rPr>
            </w:pPr>
            <w:r>
              <w:rPr>
                <w:rFonts w:hint="eastAsia"/>
              </w:rPr>
              <w:t>中医诊断学</w:t>
            </w:r>
          </w:p>
          <w:p>
            <w:pPr>
              <w:rPr>
                <w:rFonts w:hint="eastAsia"/>
              </w:rPr>
            </w:pPr>
            <w:r>
              <w:rPr>
                <w:rFonts w:hint="eastAsia"/>
              </w:rPr>
              <w:t>中药学</w:t>
            </w:r>
          </w:p>
          <w:p>
            <w:pPr>
              <w:rPr>
                <w:rFonts w:hint="eastAsia"/>
              </w:rPr>
            </w:pPr>
            <w:r>
              <w:rPr>
                <w:rFonts w:hint="eastAsia"/>
              </w:rPr>
              <w:t>方剂学</w:t>
            </w:r>
          </w:p>
          <w:p>
            <w:pPr>
              <w:rPr>
                <w:rFonts w:hint="eastAsia"/>
              </w:rPr>
            </w:pPr>
            <w:r>
              <w:rPr>
                <w:rFonts w:hint="eastAsia"/>
              </w:rPr>
              <w:t>中医内科学</w:t>
            </w:r>
          </w:p>
          <w:p>
            <w:pPr>
              <w:rPr>
                <w:rFonts w:hint="eastAsia"/>
              </w:rPr>
            </w:pPr>
            <w:r>
              <w:rPr>
                <w:rFonts w:hint="eastAsia"/>
              </w:rPr>
              <w:t>中医外科学</w:t>
            </w:r>
          </w:p>
          <w:p>
            <w:pPr>
              <w:rPr>
                <w:rFonts w:hint="eastAsia"/>
              </w:rPr>
            </w:pPr>
            <w:r>
              <w:rPr>
                <w:rFonts w:hint="eastAsia"/>
              </w:rPr>
              <w:t>中医妇科学</w:t>
            </w:r>
          </w:p>
          <w:p>
            <w:pPr>
              <w:rPr>
                <w:rFonts w:hint="eastAsia"/>
              </w:rPr>
            </w:pPr>
            <w:r>
              <w:rPr>
                <w:rFonts w:hint="eastAsia"/>
              </w:rPr>
              <w:t>中医儿科学</w:t>
            </w:r>
          </w:p>
          <w:p>
            <w:pPr>
              <w:rPr>
                <w:rFonts w:hint="eastAsia"/>
              </w:rPr>
            </w:pPr>
            <w:r>
              <w:rPr>
                <w:rFonts w:hint="eastAsia"/>
              </w:rPr>
              <w:t>针灸推拿学</w:t>
            </w:r>
          </w:p>
          <w:p>
            <w:pPr>
              <w:rPr>
                <w:rFonts w:hint="eastAsia"/>
              </w:rPr>
            </w:pPr>
            <w:r>
              <w:rPr>
                <w:rFonts w:hint="eastAsia"/>
              </w:rPr>
              <w:t>诊断学基础</w:t>
            </w:r>
          </w:p>
          <w:p>
            <w:pPr>
              <w:rPr>
                <w:rFonts w:ascii="宋体" w:hAnsi="宋体"/>
                <w:color w:val="000000"/>
                <w:kern w:val="0"/>
                <w:szCs w:val="21"/>
              </w:rPr>
            </w:pPr>
            <w:r>
              <w:rPr>
                <w:rFonts w:hint="eastAsia"/>
              </w:rPr>
              <w:t>西医内科学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888" w:type="dxa"/>
            <w:vMerge w:val="continue"/>
            <w:noWrap w:val="0"/>
            <w:vAlign w:val="center"/>
          </w:tcPr>
          <w:p>
            <w:pPr>
              <w:spacing w:line="320" w:lineRule="exact"/>
              <w:jc w:val="center"/>
              <w:rPr>
                <w:rFonts w:ascii="宋体" w:hAnsi="宋体"/>
                <w:color w:val="000000"/>
                <w:kern w:val="0"/>
                <w:szCs w:val="21"/>
              </w:rPr>
            </w:pPr>
          </w:p>
        </w:tc>
        <w:tc>
          <w:tcPr>
            <w:tcW w:w="1842" w:type="dxa"/>
            <w:vMerge w:val="continue"/>
            <w:noWrap w:val="0"/>
            <w:vAlign w:val="center"/>
          </w:tcPr>
          <w:p>
            <w:pPr>
              <w:spacing w:line="320" w:lineRule="exact"/>
              <w:rPr>
                <w:rFonts w:ascii="宋体" w:hAnsi="宋体"/>
                <w:color w:val="000000"/>
                <w:kern w:val="0"/>
                <w:szCs w:val="21"/>
              </w:rPr>
            </w:pPr>
          </w:p>
        </w:tc>
        <w:tc>
          <w:tcPr>
            <w:tcW w:w="2410" w:type="dxa"/>
            <w:vMerge w:val="continue"/>
            <w:noWrap w:val="0"/>
            <w:vAlign w:val="center"/>
          </w:tcPr>
          <w:p>
            <w:pPr>
              <w:spacing w:line="320" w:lineRule="exact"/>
              <w:rPr>
                <w:rFonts w:ascii="宋体" w:hAnsi="宋体"/>
                <w:color w:val="000000"/>
                <w:kern w:val="0"/>
                <w:szCs w:val="21"/>
              </w:rPr>
            </w:pPr>
          </w:p>
        </w:tc>
        <w:tc>
          <w:tcPr>
            <w:tcW w:w="2388" w:type="dxa"/>
            <w:vMerge w:val="continue"/>
            <w:noWrap w:val="0"/>
            <w:vAlign w:val="center"/>
          </w:tcPr>
          <w:p>
            <w:pPr>
              <w:spacing w:line="320" w:lineRule="exact"/>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jc w:val="center"/>
        </w:trPr>
        <w:tc>
          <w:tcPr>
            <w:tcW w:w="1888" w:type="dxa"/>
            <w:vMerge w:val="continue"/>
            <w:noWrap w:val="0"/>
            <w:vAlign w:val="center"/>
          </w:tcPr>
          <w:p>
            <w:pPr>
              <w:spacing w:line="320" w:lineRule="exact"/>
              <w:jc w:val="center"/>
              <w:rPr>
                <w:rFonts w:ascii="宋体" w:hAnsi="宋体"/>
                <w:color w:val="000000"/>
                <w:kern w:val="0"/>
                <w:szCs w:val="21"/>
              </w:rPr>
            </w:pPr>
          </w:p>
        </w:tc>
        <w:tc>
          <w:tcPr>
            <w:tcW w:w="1842" w:type="dxa"/>
            <w:vMerge w:val="continue"/>
            <w:noWrap w:val="0"/>
            <w:vAlign w:val="center"/>
          </w:tcPr>
          <w:p>
            <w:pPr>
              <w:spacing w:line="320" w:lineRule="exact"/>
              <w:rPr>
                <w:rFonts w:ascii="宋体" w:hAnsi="宋体"/>
                <w:color w:val="000000"/>
                <w:kern w:val="0"/>
                <w:szCs w:val="21"/>
              </w:rPr>
            </w:pPr>
          </w:p>
        </w:tc>
        <w:tc>
          <w:tcPr>
            <w:tcW w:w="2410" w:type="dxa"/>
            <w:vMerge w:val="continue"/>
            <w:noWrap w:val="0"/>
            <w:vAlign w:val="center"/>
          </w:tcPr>
          <w:p>
            <w:pPr>
              <w:spacing w:line="320" w:lineRule="exact"/>
              <w:rPr>
                <w:rFonts w:ascii="宋体" w:hAnsi="宋体"/>
                <w:color w:val="000000"/>
                <w:kern w:val="0"/>
                <w:szCs w:val="21"/>
              </w:rPr>
            </w:pPr>
          </w:p>
        </w:tc>
        <w:tc>
          <w:tcPr>
            <w:tcW w:w="2388" w:type="dxa"/>
            <w:vMerge w:val="continue"/>
            <w:noWrap w:val="0"/>
            <w:vAlign w:val="center"/>
          </w:tcPr>
          <w:p>
            <w:pPr>
              <w:spacing w:line="320" w:lineRule="exact"/>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1888" w:type="dxa"/>
            <w:vMerge w:val="continue"/>
            <w:noWrap w:val="0"/>
            <w:vAlign w:val="center"/>
          </w:tcPr>
          <w:p>
            <w:pPr>
              <w:spacing w:line="320" w:lineRule="exact"/>
              <w:jc w:val="center"/>
              <w:rPr>
                <w:rFonts w:ascii="宋体" w:hAnsi="宋体"/>
                <w:color w:val="000000"/>
                <w:kern w:val="0"/>
                <w:szCs w:val="21"/>
              </w:rPr>
            </w:pPr>
          </w:p>
        </w:tc>
        <w:tc>
          <w:tcPr>
            <w:tcW w:w="1842" w:type="dxa"/>
            <w:vMerge w:val="continue"/>
            <w:noWrap w:val="0"/>
            <w:vAlign w:val="center"/>
          </w:tcPr>
          <w:p>
            <w:pPr>
              <w:spacing w:line="320" w:lineRule="exact"/>
              <w:rPr>
                <w:rFonts w:ascii="宋体" w:hAnsi="宋体"/>
                <w:color w:val="000000"/>
                <w:kern w:val="0"/>
                <w:szCs w:val="21"/>
              </w:rPr>
            </w:pPr>
          </w:p>
        </w:tc>
        <w:tc>
          <w:tcPr>
            <w:tcW w:w="2410" w:type="dxa"/>
            <w:vMerge w:val="continue"/>
            <w:noWrap w:val="0"/>
            <w:vAlign w:val="center"/>
          </w:tcPr>
          <w:p>
            <w:pPr>
              <w:spacing w:line="320" w:lineRule="exact"/>
              <w:rPr>
                <w:rFonts w:ascii="宋体" w:hAnsi="宋体"/>
                <w:color w:val="000000"/>
                <w:kern w:val="0"/>
                <w:szCs w:val="21"/>
              </w:rPr>
            </w:pPr>
          </w:p>
        </w:tc>
        <w:tc>
          <w:tcPr>
            <w:tcW w:w="2388" w:type="dxa"/>
            <w:vMerge w:val="continue"/>
            <w:noWrap w:val="0"/>
            <w:vAlign w:val="center"/>
          </w:tcPr>
          <w:p>
            <w:pPr>
              <w:spacing w:line="320" w:lineRule="exact"/>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1888" w:type="dxa"/>
            <w:vMerge w:val="restart"/>
            <w:noWrap w:val="0"/>
            <w:vAlign w:val="center"/>
          </w:tcPr>
          <w:p>
            <w:pPr>
              <w:spacing w:line="320" w:lineRule="exact"/>
              <w:rPr>
                <w:rFonts w:hint="eastAsia" w:ascii="宋体" w:hAnsi="宋体"/>
                <w:color w:val="000000"/>
                <w:kern w:val="0"/>
                <w:szCs w:val="21"/>
              </w:rPr>
            </w:pPr>
            <w:r>
              <w:rPr>
                <w:rFonts w:hint="eastAsia" w:ascii="宋体" w:hAnsi="宋体"/>
                <w:color w:val="000000"/>
                <w:kern w:val="0"/>
                <w:szCs w:val="21"/>
              </w:rPr>
              <w:t>中医全科医师</w:t>
            </w:r>
          </w:p>
        </w:tc>
        <w:tc>
          <w:tcPr>
            <w:tcW w:w="1842" w:type="dxa"/>
            <w:vMerge w:val="restart"/>
            <w:noWrap w:val="0"/>
            <w:vAlign w:val="center"/>
          </w:tcPr>
          <w:p>
            <w:pPr>
              <w:spacing w:line="320" w:lineRule="exact"/>
              <w:rPr>
                <w:rFonts w:ascii="宋体" w:hAnsi="宋体"/>
                <w:color w:val="000000"/>
                <w:kern w:val="0"/>
                <w:szCs w:val="21"/>
              </w:rPr>
            </w:pPr>
            <w:r>
              <w:rPr>
                <w:rFonts w:hint="eastAsia" w:ascii="宋体" w:hAnsi="宋体"/>
                <w:color w:val="000000"/>
                <w:kern w:val="0"/>
                <w:szCs w:val="21"/>
              </w:rPr>
              <w:t>熟练运用中医药理论与方法，开展中医药预防、养生保健、康复、计划生育技术服务、健康教育和常见病、多发病的诊疗服务。</w:t>
            </w:r>
          </w:p>
        </w:tc>
        <w:tc>
          <w:tcPr>
            <w:tcW w:w="2410" w:type="dxa"/>
            <w:vMerge w:val="restart"/>
            <w:noWrap w:val="0"/>
            <w:vAlign w:val="center"/>
          </w:tcPr>
          <w:p>
            <w:pPr>
              <w:spacing w:line="320" w:lineRule="exact"/>
              <w:rPr>
                <w:rFonts w:hint="eastAsia" w:ascii="宋体" w:hAnsi="宋体"/>
                <w:color w:val="000000"/>
                <w:kern w:val="0"/>
                <w:szCs w:val="21"/>
              </w:rPr>
            </w:pPr>
            <w:r>
              <w:rPr>
                <w:rFonts w:hint="eastAsia" w:ascii="宋体" w:hAnsi="宋体"/>
                <w:color w:val="000000"/>
                <w:kern w:val="0"/>
                <w:szCs w:val="21"/>
              </w:rPr>
              <w:t>1.掌握具有中医药特色的全科医疗健康档案的建立和病历的书写，中医药特色的全科医疗综合模式和医患交流的技巧，掌握社区诊断的方法，熟悉居民家庭档案的建立和运用； </w:t>
            </w:r>
          </w:p>
          <w:p>
            <w:pPr>
              <w:spacing w:line="320" w:lineRule="exact"/>
              <w:rPr>
                <w:rFonts w:ascii="宋体" w:hAnsi="宋体"/>
                <w:color w:val="000000"/>
                <w:kern w:val="0"/>
                <w:szCs w:val="21"/>
              </w:rPr>
            </w:pPr>
            <w:r>
              <w:rPr>
                <w:rFonts w:hint="eastAsia" w:ascii="宋体" w:hAnsi="宋体"/>
                <w:color w:val="000000"/>
                <w:kern w:val="0"/>
                <w:szCs w:val="21"/>
              </w:rPr>
              <w:t>2.掌握处方药、非处方药区别，老年用药、儿童用药特点，中药、西药合用的用药方法和注意事项。</w:t>
            </w:r>
          </w:p>
        </w:tc>
        <w:tc>
          <w:tcPr>
            <w:tcW w:w="2388" w:type="dxa"/>
            <w:vMerge w:val="restart"/>
            <w:noWrap w:val="0"/>
            <w:vAlign w:val="center"/>
          </w:tcPr>
          <w:p>
            <w:pPr>
              <w:rPr>
                <w:rFonts w:hint="eastAsia"/>
              </w:rPr>
            </w:pPr>
            <w:r>
              <w:rPr>
                <w:rFonts w:hint="eastAsia"/>
              </w:rPr>
              <w:t>人体解剖</w:t>
            </w:r>
            <w:r>
              <w:rPr>
                <w:rFonts w:hint="eastAsia"/>
                <w:lang w:val="en-US" w:eastAsia="zh-CN"/>
              </w:rPr>
              <w:t>与组织胚胎</w:t>
            </w:r>
            <w:r>
              <w:rPr>
                <w:rFonts w:hint="eastAsia"/>
              </w:rPr>
              <w:t>学</w:t>
            </w:r>
          </w:p>
          <w:p>
            <w:pPr>
              <w:rPr>
                <w:rFonts w:hint="eastAsia"/>
              </w:rPr>
            </w:pPr>
            <w:r>
              <w:rPr>
                <w:rFonts w:hint="eastAsia"/>
              </w:rPr>
              <w:t>生理学</w:t>
            </w:r>
          </w:p>
          <w:p>
            <w:pPr>
              <w:rPr>
                <w:rFonts w:hint="eastAsia"/>
              </w:rPr>
            </w:pPr>
            <w:r>
              <w:rPr>
                <w:rFonts w:hint="eastAsia"/>
              </w:rPr>
              <w:t>病理学</w:t>
            </w:r>
          </w:p>
          <w:p>
            <w:pPr>
              <w:rPr>
                <w:rFonts w:hint="eastAsia"/>
              </w:rPr>
            </w:pPr>
            <w:r>
              <w:rPr>
                <w:rFonts w:hint="eastAsia"/>
              </w:rPr>
              <w:t>药理学</w:t>
            </w:r>
          </w:p>
          <w:p>
            <w:pPr>
              <w:rPr>
                <w:rFonts w:hint="eastAsia"/>
              </w:rPr>
            </w:pPr>
            <w:r>
              <w:rPr>
                <w:rFonts w:hint="eastAsia"/>
              </w:rPr>
              <w:t>中医基础</w:t>
            </w:r>
            <w:r>
              <w:rPr>
                <w:rFonts w:hint="eastAsia"/>
                <w:lang w:val="en-US" w:eastAsia="zh-CN"/>
              </w:rPr>
              <w:t>理</w:t>
            </w:r>
            <w:r>
              <w:rPr>
                <w:rFonts w:hint="eastAsia"/>
              </w:rPr>
              <w:t>论</w:t>
            </w:r>
          </w:p>
          <w:p>
            <w:pPr>
              <w:rPr>
                <w:rFonts w:hint="eastAsia"/>
              </w:rPr>
            </w:pPr>
            <w:r>
              <w:rPr>
                <w:rFonts w:hint="eastAsia"/>
              </w:rPr>
              <w:t>中医诊断学</w:t>
            </w:r>
          </w:p>
          <w:p>
            <w:pPr>
              <w:rPr>
                <w:rFonts w:hint="eastAsia"/>
              </w:rPr>
            </w:pPr>
            <w:r>
              <w:rPr>
                <w:rFonts w:hint="eastAsia"/>
              </w:rPr>
              <w:t>中药学</w:t>
            </w:r>
          </w:p>
          <w:p>
            <w:pPr>
              <w:rPr>
                <w:rFonts w:hint="eastAsia"/>
              </w:rPr>
            </w:pPr>
            <w:r>
              <w:rPr>
                <w:rFonts w:hint="eastAsia"/>
              </w:rPr>
              <w:t>方剂学</w:t>
            </w:r>
          </w:p>
          <w:p>
            <w:pPr>
              <w:rPr>
                <w:rFonts w:hint="eastAsia"/>
              </w:rPr>
            </w:pPr>
            <w:r>
              <w:rPr>
                <w:rFonts w:hint="eastAsia"/>
              </w:rPr>
              <w:t>中医内科学</w:t>
            </w:r>
          </w:p>
          <w:p>
            <w:pPr>
              <w:rPr>
                <w:rFonts w:hint="eastAsia"/>
              </w:rPr>
            </w:pPr>
            <w:r>
              <w:rPr>
                <w:rFonts w:hint="eastAsia"/>
              </w:rPr>
              <w:t>中医外科学</w:t>
            </w:r>
          </w:p>
          <w:p>
            <w:pPr>
              <w:rPr>
                <w:rFonts w:hint="eastAsia"/>
              </w:rPr>
            </w:pPr>
            <w:r>
              <w:rPr>
                <w:rFonts w:hint="eastAsia"/>
              </w:rPr>
              <w:t>中医妇科学</w:t>
            </w:r>
          </w:p>
          <w:p>
            <w:pPr>
              <w:rPr>
                <w:rFonts w:hint="eastAsia"/>
              </w:rPr>
            </w:pPr>
            <w:r>
              <w:rPr>
                <w:rFonts w:hint="eastAsia"/>
              </w:rPr>
              <w:t>中医儿科学</w:t>
            </w:r>
          </w:p>
          <w:p>
            <w:pPr>
              <w:rPr>
                <w:rFonts w:hint="eastAsia"/>
              </w:rPr>
            </w:pPr>
            <w:r>
              <w:rPr>
                <w:rFonts w:hint="eastAsia"/>
              </w:rPr>
              <w:t>针灸推拿学</w:t>
            </w:r>
          </w:p>
          <w:p>
            <w:pPr>
              <w:rPr>
                <w:rFonts w:hint="eastAsia"/>
              </w:rPr>
            </w:pPr>
            <w:r>
              <w:rPr>
                <w:rFonts w:hint="eastAsia"/>
              </w:rPr>
              <w:t>诊断学基础</w:t>
            </w:r>
          </w:p>
          <w:p>
            <w:pPr>
              <w:spacing w:line="320" w:lineRule="exact"/>
              <w:rPr>
                <w:rFonts w:ascii="宋体" w:hAnsi="宋体"/>
                <w:color w:val="000000"/>
                <w:kern w:val="0"/>
                <w:szCs w:val="21"/>
              </w:rPr>
            </w:pPr>
            <w:r>
              <w:rPr>
                <w:rFonts w:hint="eastAsia"/>
              </w:rPr>
              <w:t>西医内科学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1888" w:type="dxa"/>
            <w:vMerge w:val="continue"/>
            <w:noWrap w:val="0"/>
            <w:vAlign w:val="center"/>
          </w:tcPr>
          <w:p>
            <w:pPr>
              <w:spacing w:line="320" w:lineRule="exact"/>
              <w:rPr>
                <w:rFonts w:ascii="宋体" w:hAnsi="宋体"/>
                <w:color w:val="000000"/>
                <w:kern w:val="0"/>
                <w:szCs w:val="21"/>
              </w:rPr>
            </w:pPr>
          </w:p>
        </w:tc>
        <w:tc>
          <w:tcPr>
            <w:tcW w:w="1842" w:type="dxa"/>
            <w:vMerge w:val="continue"/>
            <w:noWrap w:val="0"/>
            <w:vAlign w:val="center"/>
          </w:tcPr>
          <w:p>
            <w:pPr>
              <w:spacing w:line="320" w:lineRule="exact"/>
              <w:rPr>
                <w:rFonts w:ascii="宋体" w:hAnsi="宋体"/>
                <w:color w:val="000000"/>
                <w:kern w:val="0"/>
                <w:szCs w:val="21"/>
              </w:rPr>
            </w:pPr>
          </w:p>
        </w:tc>
        <w:tc>
          <w:tcPr>
            <w:tcW w:w="2410" w:type="dxa"/>
            <w:vMerge w:val="continue"/>
            <w:noWrap w:val="0"/>
            <w:vAlign w:val="center"/>
          </w:tcPr>
          <w:p>
            <w:pPr>
              <w:spacing w:line="320" w:lineRule="exact"/>
              <w:rPr>
                <w:rFonts w:ascii="宋体" w:hAnsi="宋体"/>
                <w:color w:val="000000"/>
                <w:kern w:val="0"/>
                <w:szCs w:val="21"/>
              </w:rPr>
            </w:pPr>
          </w:p>
        </w:tc>
        <w:tc>
          <w:tcPr>
            <w:tcW w:w="2388" w:type="dxa"/>
            <w:vMerge w:val="continue"/>
            <w:noWrap w:val="0"/>
            <w:vAlign w:val="center"/>
          </w:tcPr>
          <w:p>
            <w:pPr>
              <w:spacing w:line="320" w:lineRule="exact"/>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jc w:val="center"/>
        </w:trPr>
        <w:tc>
          <w:tcPr>
            <w:tcW w:w="1888" w:type="dxa"/>
            <w:vMerge w:val="continue"/>
            <w:noWrap w:val="0"/>
            <w:vAlign w:val="center"/>
          </w:tcPr>
          <w:p>
            <w:pPr>
              <w:spacing w:line="320" w:lineRule="exact"/>
              <w:rPr>
                <w:rFonts w:ascii="宋体" w:hAnsi="宋体"/>
                <w:color w:val="000000"/>
                <w:kern w:val="0"/>
                <w:szCs w:val="21"/>
              </w:rPr>
            </w:pPr>
          </w:p>
        </w:tc>
        <w:tc>
          <w:tcPr>
            <w:tcW w:w="1842" w:type="dxa"/>
            <w:vMerge w:val="continue"/>
            <w:noWrap w:val="0"/>
            <w:vAlign w:val="center"/>
          </w:tcPr>
          <w:p>
            <w:pPr>
              <w:spacing w:line="320" w:lineRule="exact"/>
              <w:rPr>
                <w:rFonts w:ascii="宋体" w:hAnsi="宋体"/>
                <w:color w:val="000000"/>
                <w:kern w:val="0"/>
                <w:szCs w:val="21"/>
              </w:rPr>
            </w:pPr>
          </w:p>
        </w:tc>
        <w:tc>
          <w:tcPr>
            <w:tcW w:w="2410" w:type="dxa"/>
            <w:vMerge w:val="continue"/>
            <w:noWrap w:val="0"/>
            <w:vAlign w:val="center"/>
          </w:tcPr>
          <w:p>
            <w:pPr>
              <w:spacing w:line="320" w:lineRule="exact"/>
              <w:rPr>
                <w:rFonts w:ascii="宋体" w:hAnsi="宋体"/>
                <w:color w:val="000000"/>
                <w:kern w:val="0"/>
                <w:szCs w:val="21"/>
              </w:rPr>
            </w:pPr>
          </w:p>
        </w:tc>
        <w:tc>
          <w:tcPr>
            <w:tcW w:w="2388" w:type="dxa"/>
            <w:vMerge w:val="continue"/>
            <w:noWrap w:val="0"/>
            <w:vAlign w:val="center"/>
          </w:tcPr>
          <w:p>
            <w:pPr>
              <w:spacing w:line="320" w:lineRule="exact"/>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888" w:type="dxa"/>
            <w:vMerge w:val="continue"/>
            <w:noWrap w:val="0"/>
            <w:vAlign w:val="center"/>
          </w:tcPr>
          <w:p>
            <w:pPr>
              <w:spacing w:line="320" w:lineRule="exact"/>
              <w:rPr>
                <w:rFonts w:ascii="宋体" w:hAnsi="宋体"/>
                <w:color w:val="000000"/>
                <w:kern w:val="0"/>
                <w:szCs w:val="21"/>
              </w:rPr>
            </w:pPr>
          </w:p>
        </w:tc>
        <w:tc>
          <w:tcPr>
            <w:tcW w:w="1842" w:type="dxa"/>
            <w:vMerge w:val="continue"/>
            <w:noWrap w:val="0"/>
            <w:vAlign w:val="center"/>
          </w:tcPr>
          <w:p>
            <w:pPr>
              <w:spacing w:line="320" w:lineRule="exact"/>
              <w:rPr>
                <w:rFonts w:ascii="宋体" w:hAnsi="宋体"/>
                <w:color w:val="000000"/>
                <w:kern w:val="0"/>
                <w:szCs w:val="21"/>
              </w:rPr>
            </w:pPr>
          </w:p>
        </w:tc>
        <w:tc>
          <w:tcPr>
            <w:tcW w:w="2410" w:type="dxa"/>
            <w:vMerge w:val="continue"/>
            <w:noWrap w:val="0"/>
            <w:vAlign w:val="center"/>
          </w:tcPr>
          <w:p>
            <w:pPr>
              <w:spacing w:line="320" w:lineRule="exact"/>
              <w:rPr>
                <w:rFonts w:ascii="宋体" w:hAnsi="宋体"/>
                <w:color w:val="000000"/>
                <w:kern w:val="0"/>
                <w:szCs w:val="21"/>
              </w:rPr>
            </w:pPr>
          </w:p>
        </w:tc>
        <w:tc>
          <w:tcPr>
            <w:tcW w:w="2388" w:type="dxa"/>
            <w:vMerge w:val="continue"/>
            <w:noWrap w:val="0"/>
            <w:vAlign w:val="center"/>
          </w:tcPr>
          <w:p>
            <w:pPr>
              <w:spacing w:line="320" w:lineRule="exact"/>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888" w:type="dxa"/>
            <w:vMerge w:val="continue"/>
            <w:noWrap w:val="0"/>
            <w:vAlign w:val="top"/>
          </w:tcPr>
          <w:p>
            <w:pPr>
              <w:spacing w:line="320" w:lineRule="exact"/>
              <w:jc w:val="center"/>
              <w:rPr>
                <w:rFonts w:ascii="宋体" w:hAnsi="宋体"/>
                <w:color w:val="000000"/>
                <w:kern w:val="0"/>
                <w:szCs w:val="21"/>
              </w:rPr>
            </w:pPr>
          </w:p>
        </w:tc>
        <w:tc>
          <w:tcPr>
            <w:tcW w:w="1842" w:type="dxa"/>
            <w:vMerge w:val="continue"/>
            <w:noWrap w:val="0"/>
            <w:vAlign w:val="top"/>
          </w:tcPr>
          <w:p>
            <w:pPr>
              <w:spacing w:line="320" w:lineRule="exact"/>
              <w:jc w:val="center"/>
              <w:rPr>
                <w:rFonts w:ascii="宋体" w:hAnsi="宋体"/>
                <w:color w:val="000000"/>
                <w:kern w:val="0"/>
                <w:szCs w:val="21"/>
              </w:rPr>
            </w:pPr>
          </w:p>
        </w:tc>
        <w:tc>
          <w:tcPr>
            <w:tcW w:w="2410" w:type="dxa"/>
            <w:vMerge w:val="continue"/>
            <w:noWrap w:val="0"/>
            <w:vAlign w:val="top"/>
          </w:tcPr>
          <w:p>
            <w:pPr>
              <w:spacing w:line="320" w:lineRule="exact"/>
              <w:jc w:val="center"/>
              <w:rPr>
                <w:rFonts w:ascii="宋体" w:hAnsi="宋体"/>
                <w:color w:val="000000"/>
                <w:kern w:val="0"/>
                <w:szCs w:val="21"/>
              </w:rPr>
            </w:pPr>
          </w:p>
        </w:tc>
        <w:tc>
          <w:tcPr>
            <w:tcW w:w="2388" w:type="dxa"/>
            <w:vMerge w:val="continue"/>
            <w:noWrap w:val="0"/>
            <w:vAlign w:val="top"/>
          </w:tcPr>
          <w:p>
            <w:pPr>
              <w:spacing w:line="320" w:lineRule="exact"/>
              <w:jc w:val="center"/>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888" w:type="dxa"/>
            <w:vMerge w:val="continue"/>
            <w:noWrap w:val="0"/>
            <w:vAlign w:val="top"/>
          </w:tcPr>
          <w:p>
            <w:pPr>
              <w:spacing w:line="320" w:lineRule="exact"/>
              <w:jc w:val="center"/>
              <w:rPr>
                <w:rFonts w:ascii="宋体" w:hAnsi="宋体"/>
                <w:color w:val="000000"/>
                <w:kern w:val="0"/>
                <w:szCs w:val="21"/>
              </w:rPr>
            </w:pPr>
          </w:p>
        </w:tc>
        <w:tc>
          <w:tcPr>
            <w:tcW w:w="1842" w:type="dxa"/>
            <w:vMerge w:val="continue"/>
            <w:noWrap w:val="0"/>
            <w:vAlign w:val="top"/>
          </w:tcPr>
          <w:p>
            <w:pPr>
              <w:spacing w:line="320" w:lineRule="exact"/>
              <w:jc w:val="center"/>
              <w:rPr>
                <w:rFonts w:ascii="宋体" w:hAnsi="宋体"/>
                <w:color w:val="000000"/>
                <w:kern w:val="0"/>
                <w:szCs w:val="21"/>
              </w:rPr>
            </w:pPr>
          </w:p>
        </w:tc>
        <w:tc>
          <w:tcPr>
            <w:tcW w:w="2410" w:type="dxa"/>
            <w:vMerge w:val="continue"/>
            <w:noWrap w:val="0"/>
            <w:vAlign w:val="top"/>
          </w:tcPr>
          <w:p>
            <w:pPr>
              <w:spacing w:line="320" w:lineRule="exact"/>
              <w:jc w:val="center"/>
              <w:rPr>
                <w:rFonts w:ascii="宋体" w:hAnsi="宋体"/>
                <w:color w:val="000000"/>
                <w:kern w:val="0"/>
                <w:szCs w:val="21"/>
              </w:rPr>
            </w:pPr>
          </w:p>
        </w:tc>
        <w:tc>
          <w:tcPr>
            <w:tcW w:w="2388" w:type="dxa"/>
            <w:vMerge w:val="continue"/>
            <w:noWrap w:val="0"/>
            <w:vAlign w:val="top"/>
          </w:tcPr>
          <w:p>
            <w:pPr>
              <w:spacing w:line="320" w:lineRule="exact"/>
              <w:jc w:val="center"/>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1888" w:type="dxa"/>
            <w:vMerge w:val="continue"/>
            <w:noWrap w:val="0"/>
            <w:vAlign w:val="top"/>
          </w:tcPr>
          <w:p>
            <w:pPr>
              <w:spacing w:line="320" w:lineRule="exact"/>
              <w:jc w:val="center"/>
              <w:rPr>
                <w:rFonts w:ascii="宋体" w:hAnsi="宋体"/>
                <w:color w:val="000000"/>
                <w:kern w:val="0"/>
                <w:szCs w:val="21"/>
              </w:rPr>
            </w:pPr>
          </w:p>
        </w:tc>
        <w:tc>
          <w:tcPr>
            <w:tcW w:w="1842" w:type="dxa"/>
            <w:vMerge w:val="continue"/>
            <w:noWrap w:val="0"/>
            <w:vAlign w:val="top"/>
          </w:tcPr>
          <w:p>
            <w:pPr>
              <w:spacing w:line="320" w:lineRule="exact"/>
              <w:jc w:val="center"/>
              <w:rPr>
                <w:rFonts w:ascii="宋体" w:hAnsi="宋体"/>
                <w:color w:val="000000"/>
                <w:kern w:val="0"/>
                <w:szCs w:val="21"/>
              </w:rPr>
            </w:pPr>
          </w:p>
        </w:tc>
        <w:tc>
          <w:tcPr>
            <w:tcW w:w="2410" w:type="dxa"/>
            <w:vMerge w:val="continue"/>
            <w:noWrap w:val="0"/>
            <w:vAlign w:val="top"/>
          </w:tcPr>
          <w:p>
            <w:pPr>
              <w:spacing w:line="320" w:lineRule="exact"/>
              <w:jc w:val="center"/>
              <w:rPr>
                <w:rFonts w:ascii="宋体" w:hAnsi="宋体"/>
                <w:color w:val="000000"/>
                <w:kern w:val="0"/>
                <w:szCs w:val="21"/>
              </w:rPr>
            </w:pPr>
          </w:p>
        </w:tc>
        <w:tc>
          <w:tcPr>
            <w:tcW w:w="2388" w:type="dxa"/>
            <w:vMerge w:val="continue"/>
            <w:noWrap w:val="0"/>
            <w:vAlign w:val="top"/>
          </w:tcPr>
          <w:p>
            <w:pPr>
              <w:spacing w:line="320" w:lineRule="exact"/>
              <w:jc w:val="center"/>
              <w:rPr>
                <w:rFonts w:ascii="宋体" w:hAnsi="宋体"/>
                <w:color w:val="000000"/>
                <w:kern w:val="0"/>
                <w:szCs w:val="21"/>
              </w:rPr>
            </w:pPr>
          </w:p>
        </w:tc>
      </w:tr>
    </w:tbl>
    <w:p>
      <w:pPr>
        <w:spacing w:line="360" w:lineRule="auto"/>
        <w:ind w:firstLine="480" w:firstLineChars="200"/>
        <w:jc w:val="left"/>
        <w:rPr>
          <w:rFonts w:hint="eastAsia" w:ascii="宋体" w:hAnsi="宋体" w:cs="宋体"/>
          <w:sz w:val="24"/>
        </w:rPr>
      </w:pPr>
      <w:r>
        <w:rPr>
          <w:rFonts w:hint="eastAsia" w:ascii="宋体" w:hAnsi="宋体" w:cs="宋体"/>
          <w:sz w:val="24"/>
        </w:rPr>
        <w:t>专业人才培养方案应当体现专业教学标准规定的各要素和人才培养的主要环节要求，包括专业名称及代码、入学要求、修业年限、职业面向、培养目标与培养规格、课程设置、学时安排、教学进程总体安排、实施保障、毕业要求等内容，并附教学进程安排表等。</w:t>
      </w:r>
    </w:p>
    <w:p>
      <w:pPr>
        <w:spacing w:line="360" w:lineRule="auto"/>
        <w:ind w:firstLine="602" w:firstLineChars="250"/>
        <w:outlineLvl w:val="0"/>
        <w:rPr>
          <w:rFonts w:hint="eastAsia" w:ascii="宋体" w:hAnsi="宋体" w:cs="宋体"/>
          <w:b/>
          <w:bCs/>
          <w:color w:val="000000"/>
          <w:sz w:val="24"/>
          <w:szCs w:val="21"/>
        </w:rPr>
      </w:pPr>
      <w:bookmarkStart w:id="22" w:name="_Toc10447"/>
      <w:bookmarkStart w:id="23" w:name="_Toc52046820"/>
      <w:bookmarkStart w:id="24" w:name="_Toc53692853"/>
      <w:bookmarkStart w:id="25" w:name="_Toc9933"/>
      <w:bookmarkStart w:id="26" w:name="_Toc13753"/>
      <w:bookmarkStart w:id="27" w:name="_Hlk52052561"/>
      <w:r>
        <w:rPr>
          <w:rFonts w:hint="eastAsia" w:ascii="宋体" w:hAnsi="宋体" w:cs="宋体"/>
          <w:b/>
          <w:bCs/>
          <w:color w:val="000000"/>
          <w:sz w:val="24"/>
          <w:szCs w:val="21"/>
        </w:rPr>
        <w:t>五、培养目标</w:t>
      </w:r>
      <w:bookmarkEnd w:id="22"/>
      <w:bookmarkEnd w:id="23"/>
      <w:bookmarkEnd w:id="24"/>
      <w:bookmarkEnd w:id="25"/>
      <w:bookmarkEnd w:id="26"/>
    </w:p>
    <w:p>
      <w:pPr>
        <w:spacing w:line="360" w:lineRule="auto"/>
        <w:ind w:firstLine="480" w:firstLineChars="200"/>
        <w:jc w:val="left"/>
        <w:rPr>
          <w:rFonts w:hint="eastAsia" w:ascii="宋体" w:hAnsi="宋体" w:cs="宋体"/>
          <w:sz w:val="24"/>
        </w:rPr>
      </w:pPr>
      <w:r>
        <w:rPr>
          <w:rFonts w:hint="eastAsia" w:ascii="宋体" w:hAnsi="宋体" w:cs="宋体"/>
          <w:sz w:val="24"/>
        </w:rPr>
        <w:t>以习近平新时代中国特色社会主义思想为指导，坚持和加强党对高校的全面领导，紧紧围绕立德树人根本任务，充分发挥中国特色社会主义教育的育人优势，以理想信念教育为核心，以社会主义核心价值观为引领，通过“三全育人”、“十大育人体系”来培养理想信念坚定，德、智、体、美、劳全面发展，具有一定的科学文化水平，良好的人文素养、职业道德、创新意识和批判性思维，精益求精的工匠精神，较强的学习能力、沟通能力、协调能力、就业能力和可持续发展的能力；掌握中医学专业基本知识、专业理论和实践技能，具备中医思维能力、较强的实践能力和中医文化传播能力，面向基层医疗卫生行业和社会工作行业的 中医医师、中医针灸推拿医师和中医康复技师等职业群，能够从事中医医疗、针灸、推拿和康复养生、保健等相关工作的高素质技术技能人才。</w:t>
      </w:r>
    </w:p>
    <w:bookmarkEnd w:id="27"/>
    <w:p>
      <w:pPr>
        <w:spacing w:line="360" w:lineRule="auto"/>
        <w:ind w:firstLine="566" w:firstLineChars="235"/>
        <w:outlineLvl w:val="1"/>
        <w:rPr>
          <w:rFonts w:hint="eastAsia" w:ascii="宋体" w:hAnsi="宋体" w:cs="宋体"/>
          <w:b/>
          <w:bCs/>
          <w:color w:val="000000"/>
          <w:sz w:val="24"/>
          <w:szCs w:val="21"/>
        </w:rPr>
      </w:pPr>
      <w:bookmarkStart w:id="28" w:name="_Toc26010"/>
      <w:bookmarkStart w:id="29" w:name="_Toc21729"/>
      <w:bookmarkStart w:id="30" w:name="_Toc53692855"/>
      <w:bookmarkStart w:id="31" w:name="_Hlk52052577"/>
      <w:r>
        <w:rPr>
          <w:rFonts w:hint="eastAsia" w:ascii="宋体" w:hAnsi="宋体" w:cs="宋体"/>
          <w:b/>
          <w:bCs/>
          <w:color w:val="000000"/>
          <w:sz w:val="24"/>
          <w:szCs w:val="21"/>
          <w:lang w:val="en-US" w:eastAsia="zh-CN"/>
        </w:rPr>
        <w:t>六、</w:t>
      </w:r>
      <w:r>
        <w:rPr>
          <w:rFonts w:hint="eastAsia" w:ascii="宋体" w:hAnsi="宋体" w:cs="宋体"/>
          <w:b/>
          <w:bCs/>
          <w:color w:val="000000"/>
          <w:sz w:val="24"/>
          <w:szCs w:val="21"/>
        </w:rPr>
        <w:t>培养规格</w:t>
      </w:r>
      <w:bookmarkEnd w:id="28"/>
      <w:bookmarkEnd w:id="29"/>
      <w:bookmarkEnd w:id="30"/>
    </w:p>
    <w:bookmarkEnd w:id="31"/>
    <w:p>
      <w:pPr>
        <w:spacing w:line="360" w:lineRule="auto"/>
        <w:ind w:firstLine="480" w:firstLineChars="200"/>
        <w:jc w:val="left"/>
        <w:rPr>
          <w:rFonts w:hint="eastAsia" w:ascii="宋体" w:hAnsi="宋体" w:cs="华文仿宋"/>
          <w:color w:val="000000"/>
          <w:sz w:val="24"/>
        </w:rPr>
      </w:pPr>
      <w:r>
        <w:rPr>
          <w:rFonts w:hint="eastAsia" w:ascii="宋体" w:hAnsi="宋体" w:cs="华文仿宋"/>
          <w:color w:val="000000"/>
          <w:kern w:val="0"/>
          <w:sz w:val="24"/>
        </w:rPr>
        <w:t>1.素质要求</w:t>
      </w:r>
      <w:r>
        <w:rPr>
          <w:rFonts w:hint="eastAsia" w:ascii="宋体" w:hAnsi="宋体" w:cs="华文仿宋"/>
          <w:color w:val="000000"/>
          <w:sz w:val="24"/>
        </w:rPr>
        <w:t xml:space="preserve"> </w:t>
      </w:r>
    </w:p>
    <w:p>
      <w:pPr>
        <w:spacing w:line="360" w:lineRule="auto"/>
        <w:ind w:firstLine="480" w:firstLineChars="200"/>
        <w:jc w:val="left"/>
        <w:rPr>
          <w:rFonts w:hint="eastAsia" w:ascii="宋体" w:hAnsi="宋体" w:cs="宋体"/>
          <w:sz w:val="24"/>
        </w:rPr>
      </w:pPr>
      <w:r>
        <w:rPr>
          <w:rFonts w:hint="eastAsia" w:ascii="宋体" w:hAnsi="宋体" w:cs="宋体"/>
          <w:sz w:val="24"/>
        </w:rPr>
        <w:t>（1）坚定拥护中国共产党领导和我国社会主义制度，在习近平新时代中国特色社会主义思想指引下，践行社会主义核心价值观，具有深厚的爱国情感和中华民族自豪感。</w:t>
      </w:r>
    </w:p>
    <w:p>
      <w:pPr>
        <w:spacing w:line="360" w:lineRule="auto"/>
        <w:ind w:firstLine="480" w:firstLineChars="200"/>
        <w:jc w:val="left"/>
        <w:rPr>
          <w:rFonts w:hint="eastAsia" w:ascii="宋体" w:hAnsi="宋体" w:cs="宋体"/>
          <w:sz w:val="24"/>
        </w:rPr>
      </w:pPr>
      <w:r>
        <w:rPr>
          <w:rFonts w:hint="eastAsia" w:ascii="宋体" w:hAnsi="宋体" w:cs="宋体"/>
          <w:sz w:val="24"/>
        </w:rPr>
        <w:t>（2）崇尚宪法、遵法守纪、崇德向善、诚实守信、热爱劳动，履行道德准则和行为规范，积极参加社会志愿者服务，具有社会责任感和社会参与意识。</w:t>
      </w:r>
    </w:p>
    <w:p>
      <w:pPr>
        <w:spacing w:line="360" w:lineRule="auto"/>
        <w:ind w:firstLine="480" w:firstLineChars="200"/>
        <w:jc w:val="left"/>
        <w:rPr>
          <w:rFonts w:hint="eastAsia" w:ascii="宋体" w:hAnsi="宋体" w:cs="宋体"/>
          <w:sz w:val="24"/>
        </w:rPr>
      </w:pPr>
      <w:r>
        <w:rPr>
          <w:rFonts w:hint="eastAsia" w:ascii="宋体" w:hAnsi="宋体" w:cs="宋体"/>
          <w:sz w:val="24"/>
        </w:rPr>
        <w:t>（3）具有“大医精诚”的职业理念，尊重生命、关爱患者，热爱中医事业，积极运用中医药理论、方法与手段， 将预防疾病、祛除病痛、关爱患者作为自己的职业责任，志愿为人类健康而奋斗。</w:t>
      </w:r>
    </w:p>
    <w:p>
      <w:pPr>
        <w:spacing w:line="360" w:lineRule="auto"/>
        <w:ind w:firstLine="480" w:firstLineChars="200"/>
        <w:jc w:val="left"/>
        <w:rPr>
          <w:rFonts w:hint="eastAsia" w:ascii="宋体" w:hAnsi="宋体" w:cs="宋体"/>
          <w:sz w:val="24"/>
        </w:rPr>
      </w:pPr>
      <w:r>
        <w:rPr>
          <w:rFonts w:hint="eastAsia" w:ascii="宋体" w:hAnsi="宋体" w:cs="宋体"/>
          <w:sz w:val="24"/>
        </w:rPr>
        <w:t>（4）具有质量意识、医疗环保意识及安全意识、信息素养、工匠精神、专业精神、创新思维、全球视野和市场洞察力。</w:t>
      </w:r>
    </w:p>
    <w:p>
      <w:pPr>
        <w:spacing w:line="360" w:lineRule="auto"/>
        <w:ind w:firstLine="480" w:firstLineChars="200"/>
        <w:jc w:val="left"/>
        <w:rPr>
          <w:rFonts w:hint="eastAsia" w:ascii="宋体" w:hAnsi="宋体" w:cs="宋体"/>
          <w:sz w:val="24"/>
        </w:rPr>
      </w:pPr>
      <w:r>
        <w:rPr>
          <w:rFonts w:hint="eastAsia" w:ascii="宋体" w:hAnsi="宋体" w:cs="宋体"/>
          <w:sz w:val="24"/>
        </w:rPr>
        <w:t>（5）勇于奋斗、乐观向上，具有自我管理能力、职业生涯规划的意识，有较强的集体意识和团队合作精神。</w:t>
      </w:r>
    </w:p>
    <w:p>
      <w:pPr>
        <w:spacing w:line="360" w:lineRule="auto"/>
        <w:ind w:firstLine="480" w:firstLineChars="200"/>
        <w:jc w:val="left"/>
        <w:rPr>
          <w:rFonts w:hint="eastAsia" w:ascii="宋体" w:hAnsi="宋体" w:cs="宋体"/>
          <w:sz w:val="24"/>
        </w:rPr>
      </w:pPr>
      <w:r>
        <w:rPr>
          <w:rFonts w:hint="eastAsia" w:ascii="宋体" w:hAnsi="宋体" w:cs="宋体"/>
          <w:sz w:val="24"/>
        </w:rPr>
        <w:t>（6）具有健康的体魄、心理和健全的人格，掌握基本运动知识和1-2项运动技能，养成良好的健身与卫生习惯，良好的行为习惯。</w:t>
      </w:r>
    </w:p>
    <w:p>
      <w:pPr>
        <w:spacing w:line="360" w:lineRule="auto"/>
        <w:ind w:firstLine="480" w:firstLineChars="200"/>
        <w:jc w:val="left"/>
        <w:rPr>
          <w:rFonts w:hint="eastAsia" w:ascii="宋体" w:hAnsi="宋体" w:cs="宋体"/>
          <w:sz w:val="24"/>
        </w:rPr>
      </w:pPr>
      <w:r>
        <w:rPr>
          <w:rFonts w:hint="eastAsia" w:ascii="宋体" w:hAnsi="宋体" w:cs="宋体"/>
          <w:sz w:val="24"/>
        </w:rPr>
        <w:t>（7）具有一定的中医药文化素养、文化自信和正确的中医药文化道德观和价值观。</w:t>
      </w:r>
    </w:p>
    <w:p>
      <w:pPr>
        <w:spacing w:line="360" w:lineRule="auto"/>
        <w:ind w:firstLine="480" w:firstLineChars="200"/>
        <w:jc w:val="left"/>
        <w:rPr>
          <w:rFonts w:hint="eastAsia" w:ascii="宋体" w:hAnsi="宋体" w:cs="华文仿宋"/>
          <w:color w:val="000000"/>
          <w:kern w:val="0"/>
          <w:sz w:val="24"/>
        </w:rPr>
      </w:pPr>
      <w:r>
        <w:rPr>
          <w:rFonts w:hint="eastAsia" w:ascii="宋体" w:hAnsi="宋体" w:cs="华文仿宋"/>
          <w:color w:val="000000"/>
          <w:kern w:val="0"/>
          <w:sz w:val="24"/>
        </w:rPr>
        <w:t>2.知识要求</w:t>
      </w:r>
    </w:p>
    <w:p>
      <w:pPr>
        <w:spacing w:line="360" w:lineRule="auto"/>
        <w:ind w:firstLine="480" w:firstLineChars="200"/>
        <w:jc w:val="left"/>
        <w:rPr>
          <w:rFonts w:hint="eastAsia" w:ascii="宋体" w:hAnsi="宋体" w:cs="宋体"/>
          <w:sz w:val="24"/>
        </w:rPr>
      </w:pPr>
      <w:r>
        <w:rPr>
          <w:rFonts w:hint="eastAsia" w:ascii="宋体" w:hAnsi="宋体" w:cs="宋体"/>
          <w:sz w:val="24"/>
        </w:rPr>
        <w:t>(1)掌握必备的思想政治理论、科学文化基础知识和中华优秀传统文化知识。</w:t>
      </w:r>
    </w:p>
    <w:p>
      <w:pPr>
        <w:spacing w:line="360" w:lineRule="auto"/>
        <w:ind w:firstLine="480" w:firstLineChars="200"/>
        <w:jc w:val="left"/>
        <w:rPr>
          <w:rFonts w:hint="eastAsia" w:ascii="宋体" w:hAnsi="宋体" w:cs="宋体"/>
          <w:sz w:val="24"/>
        </w:rPr>
      </w:pPr>
      <w:r>
        <w:rPr>
          <w:rFonts w:hint="eastAsia" w:ascii="宋体" w:hAnsi="宋体" w:cs="宋体"/>
          <w:sz w:val="24"/>
        </w:rPr>
        <w:t>(2)熟悉与本专业相关的法律法规以及环境保护、安全消防等相关知识。</w:t>
      </w:r>
    </w:p>
    <w:p>
      <w:pPr>
        <w:spacing w:line="360" w:lineRule="auto"/>
        <w:ind w:firstLine="480" w:firstLineChars="200"/>
        <w:jc w:val="left"/>
        <w:rPr>
          <w:rFonts w:hint="eastAsia" w:ascii="宋体" w:hAnsi="宋体" w:cs="宋体"/>
          <w:sz w:val="24"/>
        </w:rPr>
      </w:pPr>
      <w:r>
        <w:rPr>
          <w:rFonts w:hint="eastAsia" w:ascii="宋体" w:hAnsi="宋体" w:cs="宋体"/>
          <w:sz w:val="24"/>
        </w:rPr>
        <w:t>(3)掌握中医基础理论、中医诊断学、中药学、方剂学等基本理论知识</w:t>
      </w:r>
      <w:r>
        <w:rPr>
          <w:rFonts w:hint="eastAsia" w:ascii="宋体" w:hAnsi="宋体" w:cs="宋体"/>
          <w:sz w:val="24"/>
          <w:lang w:eastAsia="zh-CN"/>
        </w:rPr>
        <w:t>；</w:t>
      </w:r>
      <w:r>
        <w:rPr>
          <w:rFonts w:hint="eastAsia" w:ascii="宋体" w:hAnsi="宋体" w:cs="宋体"/>
          <w:sz w:val="24"/>
        </w:rPr>
        <w:t>熟练掌握中医整体观念、辨证论治原则和中医“治未病”理论。</w:t>
      </w:r>
    </w:p>
    <w:p>
      <w:pPr>
        <w:spacing w:line="360" w:lineRule="auto"/>
        <w:ind w:firstLine="480" w:firstLineChars="200"/>
        <w:jc w:val="left"/>
        <w:rPr>
          <w:rFonts w:hint="eastAsia" w:ascii="宋体" w:hAnsi="宋体" w:cs="宋体"/>
          <w:sz w:val="24"/>
        </w:rPr>
      </w:pPr>
      <w:r>
        <w:rPr>
          <w:rFonts w:hint="eastAsia" w:ascii="宋体" w:hAnsi="宋体" w:cs="宋体"/>
          <w:sz w:val="24"/>
        </w:rPr>
        <w:t>(4)掌握中医内科学、中医外科学、中医妇科学、中医儿科学、中医骨伤科学等基层常见病、多发病的中医诊疗知识和技能,以及常见体质中医辨识知识。</w:t>
      </w:r>
    </w:p>
    <w:p>
      <w:pPr>
        <w:spacing w:line="360" w:lineRule="auto"/>
        <w:ind w:firstLine="480" w:firstLineChars="200"/>
        <w:jc w:val="left"/>
        <w:rPr>
          <w:rFonts w:hint="eastAsia" w:ascii="宋体" w:hAnsi="宋体" w:cs="宋体"/>
          <w:sz w:val="24"/>
        </w:rPr>
      </w:pPr>
      <w:r>
        <w:rPr>
          <w:rFonts w:hint="eastAsia" w:ascii="宋体" w:hAnsi="宋体" w:cs="宋体"/>
          <w:sz w:val="24"/>
        </w:rPr>
        <w:t>(5)熟悉诊断学基础、内科学、外科学、妇产科学、儿科学等基层常见病、多发病的现代医学诊疗常规。</w:t>
      </w:r>
    </w:p>
    <w:p>
      <w:pPr>
        <w:spacing w:line="360" w:lineRule="auto"/>
        <w:ind w:firstLine="480" w:firstLineChars="200"/>
        <w:jc w:val="left"/>
        <w:rPr>
          <w:rFonts w:hint="eastAsia" w:ascii="宋体" w:hAnsi="宋体" w:cs="宋体"/>
          <w:sz w:val="24"/>
        </w:rPr>
      </w:pPr>
      <w:r>
        <w:rPr>
          <w:rFonts w:hint="eastAsia" w:ascii="宋体" w:hAnsi="宋体" w:cs="宋体"/>
          <w:sz w:val="24"/>
        </w:rPr>
        <w:t>(6)掌握一般危重急症的中、西医应急处理知识。</w:t>
      </w:r>
    </w:p>
    <w:p>
      <w:pPr>
        <w:spacing w:line="360" w:lineRule="auto"/>
        <w:ind w:firstLine="480" w:firstLineChars="200"/>
        <w:jc w:val="left"/>
        <w:rPr>
          <w:rFonts w:hint="eastAsia" w:ascii="宋体" w:hAnsi="宋体" w:cs="宋体"/>
          <w:sz w:val="24"/>
        </w:rPr>
      </w:pPr>
      <w:r>
        <w:rPr>
          <w:rFonts w:hint="eastAsia" w:ascii="宋体" w:hAnsi="宋体" w:cs="宋体"/>
          <w:sz w:val="24"/>
        </w:rPr>
        <w:t>(7)熟悉人体解剖学、生理学、病理学、药理学、病原生物与免疫学等现代医学基本理论知识。</w:t>
      </w:r>
    </w:p>
    <w:p>
      <w:pPr>
        <w:spacing w:line="360" w:lineRule="auto"/>
        <w:ind w:firstLine="480" w:firstLineChars="200"/>
        <w:jc w:val="left"/>
        <w:rPr>
          <w:rFonts w:hint="eastAsia" w:ascii="宋体" w:hAnsi="宋体" w:cs="宋体"/>
          <w:sz w:val="24"/>
        </w:rPr>
      </w:pPr>
      <w:r>
        <w:rPr>
          <w:rFonts w:hint="eastAsia" w:ascii="宋体" w:hAnsi="宋体" w:cs="宋体"/>
          <w:sz w:val="24"/>
        </w:rPr>
        <w:t>(8)了解常用的临床护理、药物配方、预防接种和卫生保健等常用知识。</w:t>
      </w:r>
    </w:p>
    <w:p>
      <w:pPr>
        <w:spacing w:line="360" w:lineRule="auto"/>
        <w:ind w:firstLine="480" w:firstLineChars="200"/>
        <w:jc w:val="left"/>
        <w:rPr>
          <w:rFonts w:hint="eastAsia" w:ascii="宋体" w:hAnsi="宋体" w:cs="宋体"/>
          <w:sz w:val="24"/>
        </w:rPr>
      </w:pPr>
      <w:r>
        <w:rPr>
          <w:rFonts w:hint="eastAsia" w:ascii="宋体" w:hAnsi="宋体" w:cs="宋体"/>
          <w:sz w:val="24"/>
        </w:rPr>
        <w:t>（9）掌握传染病的疫情和突发公共卫生事件的报告流程，熟悉常见传染病防治原则。</w:t>
      </w:r>
    </w:p>
    <w:p>
      <w:pPr>
        <w:spacing w:line="360" w:lineRule="auto"/>
        <w:ind w:firstLine="480" w:firstLineChars="200"/>
        <w:jc w:val="left"/>
        <w:rPr>
          <w:rFonts w:hint="eastAsia" w:ascii="宋体" w:hAnsi="宋体" w:cs="宋体"/>
          <w:sz w:val="24"/>
        </w:rPr>
      </w:pPr>
      <w:r>
        <w:rPr>
          <w:rFonts w:hint="eastAsia" w:ascii="宋体" w:hAnsi="宋体" w:cs="宋体"/>
          <w:sz w:val="24"/>
        </w:rPr>
        <w:t>（10）熟悉康复、中医养生、保健等基本知识。</w:t>
      </w:r>
    </w:p>
    <w:p>
      <w:pPr>
        <w:spacing w:line="360" w:lineRule="auto"/>
        <w:ind w:firstLine="480" w:firstLineChars="200"/>
        <w:jc w:val="left"/>
        <w:rPr>
          <w:rFonts w:hint="eastAsia" w:ascii="宋体" w:hAnsi="宋体" w:cs="宋体"/>
          <w:sz w:val="24"/>
        </w:rPr>
      </w:pPr>
      <w:r>
        <w:rPr>
          <w:rFonts w:hint="eastAsia" w:ascii="宋体" w:hAnsi="宋体" w:cs="宋体"/>
          <w:sz w:val="24"/>
        </w:rPr>
        <w:t>（11）了解全科医学的基本知识、常用护理技术在穴位注射中的运用等方面的知识。</w:t>
      </w:r>
    </w:p>
    <w:p>
      <w:pPr>
        <w:spacing w:line="360" w:lineRule="auto"/>
        <w:ind w:firstLine="480" w:firstLineChars="200"/>
        <w:jc w:val="left"/>
        <w:rPr>
          <w:rFonts w:hint="eastAsia" w:ascii="宋体" w:hAnsi="宋体" w:cs="华文仿宋"/>
          <w:color w:val="000000"/>
          <w:kern w:val="0"/>
          <w:sz w:val="24"/>
        </w:rPr>
      </w:pPr>
      <w:r>
        <w:rPr>
          <w:rFonts w:hint="eastAsia" w:ascii="宋体" w:hAnsi="宋体" w:cs="华文仿宋"/>
          <w:color w:val="000000"/>
          <w:kern w:val="0"/>
          <w:sz w:val="24"/>
        </w:rPr>
        <w:t>3.能力要求</w:t>
      </w:r>
    </w:p>
    <w:p>
      <w:pPr>
        <w:spacing w:line="360" w:lineRule="auto"/>
        <w:ind w:firstLine="480" w:firstLineChars="200"/>
        <w:jc w:val="left"/>
        <w:rPr>
          <w:rFonts w:hint="eastAsia" w:ascii="宋体" w:hAnsi="宋体" w:cs="宋体"/>
          <w:sz w:val="24"/>
        </w:rPr>
      </w:pPr>
      <w:r>
        <w:rPr>
          <w:rFonts w:hint="eastAsia" w:ascii="宋体" w:hAnsi="宋体" w:cs="宋体"/>
          <w:sz w:val="24"/>
        </w:rPr>
        <w:t>(1)具有探究学习、终身学习、分析问题和解决问题的能力。</w:t>
      </w:r>
    </w:p>
    <w:p>
      <w:pPr>
        <w:spacing w:line="360" w:lineRule="auto"/>
        <w:ind w:firstLine="480" w:firstLineChars="200"/>
        <w:jc w:val="left"/>
        <w:rPr>
          <w:rFonts w:hint="eastAsia" w:ascii="宋体" w:hAnsi="宋体" w:cs="宋体"/>
          <w:sz w:val="24"/>
        </w:rPr>
      </w:pPr>
      <w:r>
        <w:rPr>
          <w:rFonts w:hint="eastAsia" w:ascii="宋体" w:hAnsi="宋体" w:cs="宋体"/>
          <w:sz w:val="24"/>
        </w:rPr>
        <w:t>(2)具有良好的语言、文字表达能力和沟通能力。</w:t>
      </w:r>
    </w:p>
    <w:p>
      <w:pPr>
        <w:spacing w:line="360" w:lineRule="auto"/>
        <w:ind w:firstLine="480" w:firstLineChars="200"/>
        <w:jc w:val="left"/>
        <w:rPr>
          <w:rFonts w:hint="eastAsia" w:ascii="宋体" w:hAnsi="宋体" w:cs="宋体"/>
          <w:sz w:val="24"/>
        </w:rPr>
      </w:pPr>
      <w:r>
        <w:rPr>
          <w:rFonts w:hint="eastAsia" w:ascii="宋体" w:hAnsi="宋体" w:cs="宋体"/>
          <w:sz w:val="24"/>
        </w:rPr>
        <w:t>(3)具有运用中医适宜技术治疗常见病的能力,具有运用中医药理论传授指导养生保健的能力。</w:t>
      </w:r>
    </w:p>
    <w:p>
      <w:pPr>
        <w:spacing w:line="360" w:lineRule="auto"/>
        <w:ind w:firstLine="480" w:firstLineChars="200"/>
        <w:jc w:val="left"/>
        <w:rPr>
          <w:rFonts w:hint="eastAsia" w:ascii="宋体" w:hAnsi="宋体" w:cs="宋体"/>
          <w:sz w:val="24"/>
        </w:rPr>
      </w:pPr>
      <w:r>
        <w:rPr>
          <w:rFonts w:hint="eastAsia" w:ascii="宋体" w:hAnsi="宋体" w:cs="宋体"/>
          <w:sz w:val="24"/>
        </w:rPr>
        <w:t>(4)具有运用望、闻、问、切及医学诊断方法,对常见病进行诊断、治疗的能力。</w:t>
      </w:r>
    </w:p>
    <w:p>
      <w:pPr>
        <w:spacing w:line="360" w:lineRule="auto"/>
        <w:ind w:firstLine="480" w:firstLineChars="200"/>
        <w:jc w:val="left"/>
        <w:rPr>
          <w:rFonts w:hint="eastAsia" w:ascii="宋体" w:hAnsi="宋体" w:cs="宋体"/>
          <w:sz w:val="24"/>
        </w:rPr>
      </w:pPr>
      <w:r>
        <w:rPr>
          <w:rFonts w:hint="eastAsia" w:ascii="宋体" w:hAnsi="宋体" w:cs="宋体"/>
          <w:sz w:val="24"/>
        </w:rPr>
        <w:t>(5)具有对危重急诊病人进行应急处理和转院前预处理及转诊的能力。</w:t>
      </w:r>
    </w:p>
    <w:p>
      <w:pPr>
        <w:spacing w:line="360" w:lineRule="auto"/>
        <w:ind w:firstLine="480" w:firstLineChars="200"/>
        <w:jc w:val="left"/>
        <w:rPr>
          <w:rFonts w:hint="eastAsia" w:ascii="宋体" w:hAnsi="宋体" w:cs="宋体"/>
          <w:sz w:val="24"/>
        </w:rPr>
      </w:pPr>
      <w:r>
        <w:rPr>
          <w:rFonts w:hint="eastAsia" w:ascii="宋体" w:hAnsi="宋体" w:cs="宋体"/>
          <w:sz w:val="24"/>
        </w:rPr>
        <w:t>(6)具有医疗、预防、康复及养生保健的技术应用能力。</w:t>
      </w:r>
    </w:p>
    <w:p>
      <w:pPr>
        <w:spacing w:line="360" w:lineRule="auto"/>
        <w:ind w:firstLine="480" w:firstLineChars="200"/>
        <w:jc w:val="left"/>
        <w:rPr>
          <w:rFonts w:hint="eastAsia" w:ascii="宋体" w:hAnsi="宋体" w:cs="宋体"/>
          <w:sz w:val="24"/>
        </w:rPr>
      </w:pPr>
      <w:r>
        <w:rPr>
          <w:rFonts w:hint="eastAsia" w:ascii="宋体" w:hAnsi="宋体" w:cs="宋体"/>
          <w:sz w:val="24"/>
        </w:rPr>
        <w:t>(7)具有书写规范医学文件的能力。</w:t>
      </w:r>
    </w:p>
    <w:p>
      <w:pPr>
        <w:spacing w:line="360" w:lineRule="auto"/>
        <w:ind w:firstLine="480" w:firstLineChars="200"/>
        <w:jc w:val="left"/>
        <w:rPr>
          <w:rFonts w:hint="eastAsia" w:ascii="宋体" w:hAnsi="宋体" w:cs="宋体"/>
          <w:sz w:val="24"/>
        </w:rPr>
      </w:pPr>
      <w:r>
        <w:rPr>
          <w:rFonts w:hint="eastAsia" w:ascii="宋体" w:hAnsi="宋体" w:cs="宋体"/>
          <w:sz w:val="24"/>
        </w:rPr>
        <w:t>(8)具有运用中医基础理论和方法进行医学逻辑思维的能力。</w:t>
      </w:r>
    </w:p>
    <w:p>
      <w:pPr>
        <w:spacing w:line="360" w:lineRule="auto"/>
        <w:ind w:firstLine="480" w:firstLineChars="200"/>
        <w:jc w:val="left"/>
        <w:rPr>
          <w:rFonts w:hint="eastAsia" w:ascii="宋体" w:hAnsi="宋体" w:cs="宋体"/>
          <w:sz w:val="24"/>
        </w:rPr>
      </w:pPr>
      <w:r>
        <w:rPr>
          <w:rFonts w:hint="eastAsia" w:ascii="宋体" w:hAnsi="宋体" w:cs="宋体"/>
          <w:sz w:val="24"/>
        </w:rPr>
        <w:t>（9）能运用中医、针灸推拿疗法以及其他外治方法治疗常见病症。</w:t>
      </w:r>
    </w:p>
    <w:p>
      <w:pPr>
        <w:spacing w:line="360" w:lineRule="auto"/>
        <w:ind w:firstLine="480" w:firstLineChars="200"/>
        <w:jc w:val="left"/>
        <w:rPr>
          <w:rFonts w:hint="eastAsia" w:ascii="宋体" w:hAnsi="宋体" w:cs="宋体"/>
          <w:sz w:val="24"/>
        </w:rPr>
      </w:pPr>
      <w:r>
        <w:rPr>
          <w:rFonts w:hint="eastAsia" w:ascii="宋体" w:hAnsi="宋体" w:cs="宋体"/>
          <w:sz w:val="24"/>
        </w:rPr>
        <w:t>（10）能规范书写中医医疗文书。</w:t>
      </w:r>
    </w:p>
    <w:p>
      <w:pPr>
        <w:spacing w:line="360" w:lineRule="auto"/>
        <w:ind w:firstLine="480" w:firstLineChars="200"/>
        <w:jc w:val="left"/>
        <w:rPr>
          <w:rFonts w:hint="eastAsia" w:ascii="宋体" w:hAnsi="宋体" w:cs="宋体"/>
          <w:sz w:val="24"/>
        </w:rPr>
      </w:pPr>
      <w:r>
        <w:rPr>
          <w:rFonts w:hint="eastAsia" w:ascii="宋体" w:hAnsi="宋体" w:cs="宋体"/>
          <w:sz w:val="24"/>
        </w:rPr>
        <w:t>（11）能在康复养生保健机构进行康复保健项目的技术指导和操作。</w:t>
      </w:r>
    </w:p>
    <w:p>
      <w:pPr>
        <w:spacing w:line="360" w:lineRule="auto"/>
        <w:ind w:firstLine="480" w:firstLineChars="200"/>
        <w:jc w:val="left"/>
        <w:rPr>
          <w:rFonts w:hint="eastAsia" w:ascii="宋体" w:hAnsi="宋体" w:cs="宋体"/>
          <w:sz w:val="24"/>
        </w:rPr>
      </w:pPr>
      <w:r>
        <w:rPr>
          <w:rFonts w:hint="eastAsia" w:ascii="宋体" w:hAnsi="宋体" w:cs="宋体"/>
          <w:sz w:val="24"/>
        </w:rPr>
        <w:t>（12）能运用全科医学的基本技能进行以人为中心的照顾，以家庭为单位、以社区为基础、以预防为导向的服务。</w:t>
      </w:r>
    </w:p>
    <w:p>
      <w:pPr>
        <w:spacing w:line="360" w:lineRule="auto"/>
        <w:ind w:firstLine="480" w:firstLineChars="200"/>
        <w:jc w:val="left"/>
        <w:rPr>
          <w:rFonts w:hint="eastAsia" w:ascii="宋体" w:hAnsi="宋体" w:cs="宋体"/>
          <w:sz w:val="24"/>
        </w:rPr>
      </w:pPr>
      <w:r>
        <w:rPr>
          <w:rFonts w:hint="eastAsia" w:ascii="宋体" w:hAnsi="宋体" w:cs="宋体"/>
          <w:sz w:val="24"/>
        </w:rPr>
        <w:t>4.职业态度要求</w:t>
      </w:r>
    </w:p>
    <w:p>
      <w:pPr>
        <w:spacing w:line="360" w:lineRule="auto"/>
        <w:ind w:firstLine="480" w:firstLineChars="200"/>
        <w:jc w:val="left"/>
        <w:rPr>
          <w:rFonts w:hint="eastAsia" w:ascii="宋体" w:hAnsi="宋体" w:cs="宋体"/>
          <w:sz w:val="24"/>
        </w:rPr>
      </w:pPr>
      <w:r>
        <w:rPr>
          <w:rFonts w:hint="eastAsia" w:ascii="宋体" w:hAnsi="宋体" w:cs="宋体"/>
          <w:sz w:val="24"/>
        </w:rPr>
        <w:t>（1）认同中医学专业和职业，专业，敬业，细心、耐心，爱心；</w:t>
      </w:r>
    </w:p>
    <w:p>
      <w:pPr>
        <w:spacing w:line="360" w:lineRule="auto"/>
        <w:ind w:firstLine="480" w:firstLineChars="200"/>
        <w:jc w:val="left"/>
        <w:rPr>
          <w:rFonts w:hint="eastAsia" w:ascii="宋体" w:hAnsi="宋体" w:cs="宋体"/>
          <w:sz w:val="24"/>
        </w:rPr>
      </w:pPr>
      <w:r>
        <w:rPr>
          <w:rFonts w:hint="eastAsia" w:ascii="宋体" w:hAnsi="宋体" w:cs="宋体"/>
          <w:sz w:val="24"/>
        </w:rPr>
        <w:t>（2）观察能力强，专业视角敏锐，善于发现病患的实际需求；</w:t>
      </w:r>
    </w:p>
    <w:p>
      <w:pPr>
        <w:spacing w:line="360" w:lineRule="auto"/>
        <w:ind w:firstLine="480" w:firstLineChars="200"/>
        <w:jc w:val="left"/>
        <w:rPr>
          <w:rFonts w:hint="eastAsia" w:ascii="宋体" w:hAnsi="宋体" w:cs="宋体"/>
          <w:sz w:val="24"/>
        </w:rPr>
      </w:pPr>
      <w:r>
        <w:rPr>
          <w:rFonts w:hint="eastAsia" w:ascii="宋体" w:hAnsi="宋体" w:cs="宋体"/>
          <w:sz w:val="24"/>
        </w:rPr>
        <w:t>（3）尊重、接纳、真诚、保密；</w:t>
      </w:r>
    </w:p>
    <w:p>
      <w:pPr>
        <w:spacing w:line="360" w:lineRule="auto"/>
        <w:ind w:firstLine="480" w:firstLineChars="200"/>
        <w:jc w:val="left"/>
        <w:rPr>
          <w:rFonts w:hint="eastAsia" w:ascii="宋体" w:hAnsi="宋体" w:cs="宋体"/>
          <w:sz w:val="24"/>
        </w:rPr>
      </w:pPr>
      <w:r>
        <w:rPr>
          <w:rFonts w:hint="eastAsia" w:ascii="宋体" w:hAnsi="宋体" w:cs="宋体"/>
          <w:sz w:val="24"/>
        </w:rPr>
        <w:t>（4）积极主动进行沟通；</w:t>
      </w:r>
    </w:p>
    <w:p>
      <w:pPr>
        <w:spacing w:line="360" w:lineRule="auto"/>
        <w:ind w:firstLine="480" w:firstLineChars="200"/>
        <w:jc w:val="left"/>
        <w:rPr>
          <w:rFonts w:hint="eastAsia" w:ascii="宋体" w:hAnsi="宋体" w:cs="宋体"/>
          <w:sz w:val="24"/>
        </w:rPr>
      </w:pPr>
      <w:r>
        <w:rPr>
          <w:rFonts w:hint="eastAsia" w:ascii="宋体" w:hAnsi="宋体" w:cs="宋体"/>
          <w:sz w:val="24"/>
        </w:rPr>
        <w:t>（5）就业观、择业观正确科学；</w:t>
      </w:r>
    </w:p>
    <w:p>
      <w:pPr>
        <w:spacing w:line="360" w:lineRule="auto"/>
        <w:ind w:firstLine="480" w:firstLineChars="200"/>
        <w:jc w:val="left"/>
        <w:rPr>
          <w:rFonts w:hint="eastAsia" w:ascii="宋体" w:hAnsi="宋体" w:cs="宋体"/>
          <w:sz w:val="24"/>
        </w:rPr>
      </w:pPr>
      <w:r>
        <w:rPr>
          <w:rFonts w:hint="eastAsia" w:ascii="宋体" w:hAnsi="宋体" w:cs="宋体"/>
          <w:sz w:val="24"/>
        </w:rPr>
        <w:t>（6）遵守中医学专业伦理及医疗服务机构的规章制度</w:t>
      </w:r>
    </w:p>
    <w:p>
      <w:pPr>
        <w:rPr>
          <w:rFonts w:hint="eastAsia" w:ascii="宋体" w:hAnsi="宋体" w:cs="宋体"/>
          <w:sz w:val="24"/>
        </w:rPr>
      </w:pPr>
      <w:r>
        <w:rPr>
          <w:rFonts w:hint="eastAsia" w:ascii="宋体" w:hAnsi="宋体" w:cs="宋体"/>
          <w:sz w:val="24"/>
        </w:rPr>
        <w:t>（7）认可医院文化及价值观。</w:t>
      </w:r>
    </w:p>
    <w:p>
      <w:pPr>
        <w:spacing w:line="360" w:lineRule="auto"/>
        <w:ind w:firstLine="482" w:firstLineChars="200"/>
        <w:jc w:val="left"/>
        <w:rPr>
          <w:rFonts w:hint="eastAsia" w:ascii="宋体" w:hAnsi="宋体" w:cs="宋体"/>
          <w:b/>
          <w:bCs/>
          <w:sz w:val="24"/>
          <w:lang w:val="en-US" w:eastAsia="zh-CN"/>
        </w:rPr>
      </w:pPr>
      <w:r>
        <w:rPr>
          <w:rFonts w:hint="eastAsia" w:ascii="宋体" w:hAnsi="宋体" w:cs="宋体"/>
          <w:b/>
          <w:bCs/>
          <w:sz w:val="24"/>
          <w:lang w:val="en-US" w:eastAsia="zh-CN"/>
        </w:rPr>
        <w:t>七</w:t>
      </w:r>
      <w:r>
        <w:rPr>
          <w:rFonts w:hint="eastAsia" w:ascii="宋体" w:hAnsi="宋体" w:cs="宋体"/>
          <w:b/>
          <w:bCs/>
          <w:sz w:val="24"/>
        </w:rPr>
        <w:t>、课程设置</w:t>
      </w:r>
      <w:r>
        <w:rPr>
          <w:rFonts w:hint="eastAsia" w:ascii="宋体" w:hAnsi="宋体" w:cs="宋体"/>
          <w:b/>
          <w:bCs/>
          <w:sz w:val="24"/>
          <w:lang w:val="en-US" w:eastAsia="zh-CN"/>
        </w:rPr>
        <w:t>及学时安排</w:t>
      </w:r>
      <w:bookmarkStart w:id="32" w:name="_Toc21269"/>
    </w:p>
    <w:p>
      <w:pPr>
        <w:spacing w:line="360" w:lineRule="auto"/>
        <w:ind w:firstLine="480" w:firstLineChars="200"/>
        <w:jc w:val="left"/>
        <w:rPr>
          <w:rFonts w:hint="eastAsia" w:ascii="宋体" w:hAnsi="宋体" w:eastAsia="宋体" w:cs="宋体"/>
          <w:sz w:val="24"/>
          <w:lang w:eastAsia="zh-CN"/>
        </w:rPr>
      </w:pPr>
      <w:r>
        <w:rPr>
          <w:rFonts w:hint="eastAsia" w:ascii="宋体" w:hAnsi="宋体" w:cs="宋体"/>
          <w:sz w:val="24"/>
        </w:rPr>
        <w:t>（</w:t>
      </w:r>
      <w:r>
        <w:rPr>
          <w:rFonts w:hint="eastAsia" w:ascii="宋体" w:hAnsi="宋体" w:cs="宋体"/>
          <w:sz w:val="24"/>
          <w:lang w:val="en-US" w:eastAsia="zh-CN"/>
        </w:rPr>
        <w:t>一</w:t>
      </w:r>
      <w:r>
        <w:rPr>
          <w:rFonts w:hint="eastAsia" w:ascii="宋体" w:hAnsi="宋体" w:cs="宋体"/>
          <w:sz w:val="24"/>
        </w:rPr>
        <w:t>）课程</w:t>
      </w:r>
      <w:bookmarkEnd w:id="32"/>
      <w:r>
        <w:rPr>
          <w:rFonts w:hint="eastAsia" w:ascii="宋体" w:hAnsi="宋体" w:cs="宋体"/>
          <w:sz w:val="24"/>
          <w:lang w:val="en-US" w:eastAsia="zh-CN"/>
        </w:rPr>
        <w:t>设置</w:t>
      </w:r>
    </w:p>
    <w:p>
      <w:pPr>
        <w:spacing w:line="360" w:lineRule="auto"/>
        <w:ind w:firstLine="480" w:firstLineChars="200"/>
        <w:jc w:val="left"/>
        <w:rPr>
          <w:rFonts w:hint="eastAsia" w:ascii="宋体" w:hAnsi="宋体" w:cs="宋体"/>
          <w:sz w:val="24"/>
        </w:rPr>
      </w:pPr>
      <w:r>
        <w:rPr>
          <w:rFonts w:hint="eastAsia" w:ascii="宋体" w:hAnsi="宋体" w:cs="宋体"/>
          <w:sz w:val="24"/>
        </w:rPr>
        <w:t>本专业课程设置主要包括公共基础课程和专业（技能）课程。</w:t>
      </w:r>
    </w:p>
    <w:p>
      <w:pPr>
        <w:numPr>
          <w:ilvl w:val="0"/>
          <w:numId w:val="1"/>
        </w:numPr>
        <w:spacing w:line="360" w:lineRule="auto"/>
        <w:ind w:firstLine="480" w:firstLineChars="200"/>
        <w:jc w:val="left"/>
        <w:rPr>
          <w:rFonts w:hint="eastAsia" w:ascii="宋体" w:hAnsi="宋体" w:cs="宋体"/>
          <w:sz w:val="24"/>
        </w:rPr>
      </w:pPr>
      <w:bookmarkStart w:id="33" w:name="_Toc53078752"/>
      <w:bookmarkStart w:id="34" w:name="_Toc53692857"/>
      <w:r>
        <w:rPr>
          <w:rFonts w:hint="eastAsia" w:ascii="宋体" w:hAnsi="宋体" w:cs="宋体"/>
          <w:sz w:val="24"/>
        </w:rPr>
        <w:t>公共基础课程</w:t>
      </w:r>
      <w:bookmarkEnd w:id="33"/>
      <w:bookmarkEnd w:id="34"/>
      <w:r>
        <w:rPr>
          <w:rFonts w:hint="eastAsia" w:ascii="宋体" w:hAnsi="宋体" w:cs="宋体"/>
          <w:sz w:val="24"/>
        </w:rPr>
        <w:t xml:space="preserve">  </w:t>
      </w:r>
    </w:p>
    <w:p>
      <w:pPr>
        <w:numPr>
          <w:numId w:val="0"/>
        </w:numPr>
        <w:spacing w:line="360" w:lineRule="auto"/>
        <w:ind w:firstLine="480" w:firstLineChars="200"/>
        <w:jc w:val="left"/>
        <w:rPr>
          <w:rFonts w:hint="eastAsia" w:ascii="宋体" w:hAnsi="宋体" w:eastAsia="宋体" w:cs="仿宋"/>
          <w:color w:val="000000"/>
          <w:kern w:val="0"/>
          <w:sz w:val="24"/>
          <w:lang w:bidi="ar"/>
        </w:rPr>
      </w:pPr>
      <w:r>
        <w:rPr>
          <w:rFonts w:hint="eastAsia" w:ascii="宋体" w:hAnsi="宋体"/>
          <w:sz w:val="24"/>
        </w:rPr>
        <w:t>根据党和国家有关文件规定，将思想道德与法治、毛泽东思想和中国特色社会主义理论体系概论、习近平新时代中国特色社会主义思想概论</w:t>
      </w:r>
      <w:r>
        <w:rPr>
          <w:rFonts w:hint="eastAsia" w:ascii="宋体" w:hAnsi="宋体"/>
          <w:sz w:val="24"/>
          <w:lang w:eastAsia="zh-CN"/>
        </w:rPr>
        <w:t>、</w:t>
      </w:r>
      <w:r>
        <w:rPr>
          <w:rFonts w:hint="eastAsia" w:ascii="宋体" w:hAnsi="宋体"/>
          <w:sz w:val="24"/>
        </w:rPr>
        <w:t>形势与政策、体育、大学生心理健康、军训（含军事理论）、劳动（志愿服务）、大学生安全教育、国家安全教育、创新创业教育等列入公共基础必修课；并将急救技术、职业发展规划、就业指导、健康教育、马克思主义中国化进程与青年使命担当、英语、信息技术、美育等列入公共限选课，</w:t>
      </w:r>
      <w:r>
        <w:rPr>
          <w:rFonts w:hint="eastAsia" w:ascii="宋体" w:hAnsi="宋体" w:eastAsia="宋体" w:cs="仿宋"/>
          <w:color w:val="000000"/>
          <w:kern w:val="0"/>
          <w:sz w:val="24"/>
          <w:lang w:bidi="ar"/>
        </w:rPr>
        <w:t>将大学生防艾健康教育、中华</w:t>
      </w:r>
      <w:r>
        <w:rPr>
          <w:rFonts w:hint="eastAsia" w:ascii="宋体" w:hAnsi="宋体" w:eastAsia="宋体" w:cs="仿宋"/>
          <w:color w:val="000000"/>
          <w:kern w:val="0"/>
          <w:sz w:val="24"/>
          <w:lang w:val="en-US" w:eastAsia="zh-CN" w:bidi="ar"/>
        </w:rPr>
        <w:t>优秀</w:t>
      </w:r>
      <w:r>
        <w:rPr>
          <w:rFonts w:hint="eastAsia" w:ascii="宋体" w:hAnsi="宋体" w:eastAsia="宋体" w:cs="仿宋"/>
          <w:color w:val="000000"/>
          <w:kern w:val="0"/>
          <w:sz w:val="24"/>
          <w:lang w:bidi="ar"/>
        </w:rPr>
        <w:t>传统文化、</w:t>
      </w:r>
      <w:r>
        <w:rPr>
          <w:rFonts w:hint="eastAsia" w:ascii="宋体" w:hAnsi="宋体" w:eastAsia="宋体" w:cs="仿宋"/>
          <w:color w:val="000000"/>
          <w:kern w:val="0"/>
          <w:sz w:val="24"/>
          <w:lang w:val="en-US" w:eastAsia="zh-CN" w:bidi="ar"/>
        </w:rPr>
        <w:t>党史、新中国史、改革开放史、社会主义发展史</w:t>
      </w:r>
      <w:r>
        <w:rPr>
          <w:rFonts w:hint="eastAsia" w:ascii="宋体" w:hAnsi="宋体" w:eastAsia="宋体" w:cs="仿宋"/>
          <w:color w:val="000000"/>
          <w:kern w:val="0"/>
          <w:sz w:val="24"/>
          <w:lang w:bidi="ar"/>
        </w:rPr>
        <w:t>等列入公共</w:t>
      </w:r>
      <w:r>
        <w:rPr>
          <w:rFonts w:hint="eastAsia" w:ascii="宋体" w:hAnsi="宋体" w:eastAsia="宋体" w:cs="仿宋"/>
          <w:color w:val="000000"/>
          <w:kern w:val="0"/>
          <w:sz w:val="24"/>
          <w:lang w:val="en-US" w:eastAsia="zh-CN" w:bidi="ar"/>
        </w:rPr>
        <w:t>选修</w:t>
      </w:r>
      <w:r>
        <w:rPr>
          <w:rFonts w:hint="eastAsia" w:ascii="宋体" w:hAnsi="宋体" w:eastAsia="宋体" w:cs="仿宋"/>
          <w:color w:val="000000"/>
          <w:kern w:val="0"/>
          <w:sz w:val="24"/>
          <w:lang w:bidi="ar"/>
        </w:rPr>
        <w:t>课。</w:t>
      </w:r>
    </w:p>
    <w:p>
      <w:pPr>
        <w:numPr>
          <w:numId w:val="0"/>
        </w:numPr>
        <w:spacing w:line="360" w:lineRule="auto"/>
        <w:ind w:firstLine="480" w:firstLineChars="200"/>
        <w:jc w:val="left"/>
        <w:rPr>
          <w:rFonts w:hint="eastAsia" w:ascii="宋体" w:hAnsi="宋体" w:eastAsia="宋体" w:cs="仿宋"/>
          <w:color w:val="000000"/>
          <w:kern w:val="0"/>
          <w:sz w:val="24"/>
          <w:lang w:bidi="ar"/>
        </w:rPr>
      </w:pPr>
      <w:r>
        <w:rPr>
          <w:rFonts w:hint="eastAsia" w:ascii="宋体" w:hAnsi="宋体" w:eastAsia="宋体" w:cs="仿宋"/>
          <w:color w:val="000000"/>
          <w:kern w:val="0"/>
          <w:sz w:val="24"/>
          <w:lang w:bidi="ar"/>
        </w:rPr>
        <w:t>学校根据实际情况可开设具有本校特色的校本课程。</w:t>
      </w:r>
    </w:p>
    <w:p>
      <w:pPr>
        <w:numPr>
          <w:numId w:val="0"/>
        </w:numPr>
        <w:spacing w:line="360" w:lineRule="auto"/>
        <w:ind w:firstLine="480" w:firstLineChars="200"/>
        <w:jc w:val="left"/>
        <w:rPr>
          <w:rFonts w:hint="eastAsia" w:ascii="宋体" w:hAnsi="宋体" w:eastAsia="宋体" w:cs="仿宋"/>
          <w:color w:val="000000"/>
          <w:kern w:val="0"/>
          <w:sz w:val="24"/>
          <w:lang w:bidi="ar"/>
        </w:rPr>
      </w:pPr>
      <w:r>
        <w:rPr>
          <w:rFonts w:hint="eastAsia" w:ascii="宋体" w:hAnsi="宋体" w:eastAsia="宋体" w:cs="仿宋"/>
          <w:color w:val="000000"/>
          <w:kern w:val="0"/>
          <w:sz w:val="24"/>
          <w:lang w:bidi="ar"/>
        </w:rPr>
        <w:t>2. 专业课程</w:t>
      </w:r>
    </w:p>
    <w:p>
      <w:pPr>
        <w:numPr>
          <w:numId w:val="0"/>
        </w:numPr>
        <w:spacing w:line="360" w:lineRule="auto"/>
        <w:jc w:val="left"/>
        <w:rPr>
          <w:rFonts w:hint="eastAsia" w:ascii="宋体" w:hAnsi="宋体" w:eastAsia="宋体" w:cs="仿宋"/>
          <w:color w:val="000000"/>
          <w:kern w:val="0"/>
          <w:sz w:val="24"/>
          <w:lang w:bidi="ar"/>
        </w:rPr>
      </w:pPr>
      <w:r>
        <w:rPr>
          <w:rFonts w:hint="eastAsia" w:ascii="宋体" w:hAnsi="宋体" w:eastAsia="宋体" w:cs="仿宋"/>
          <w:color w:val="000000"/>
          <w:kern w:val="0"/>
          <w:sz w:val="24"/>
          <w:lang w:bidi="ar"/>
        </w:rPr>
        <w:t>一般包括专业基础课程、专业核心课程、专业拓展课程，并涵盖有关实践性教学环节。学校自主确定课程名称，但应包括以下主要教学内容：</w:t>
      </w:r>
    </w:p>
    <w:p>
      <w:pPr>
        <w:numPr>
          <w:numId w:val="0"/>
        </w:numPr>
        <w:spacing w:line="360" w:lineRule="auto"/>
        <w:ind w:firstLine="480" w:firstLineChars="200"/>
        <w:jc w:val="left"/>
        <w:rPr>
          <w:rFonts w:hint="default"/>
          <w:lang w:val="en-US" w:eastAsia="zh-CN"/>
        </w:rPr>
      </w:pPr>
      <w:r>
        <w:rPr>
          <w:rFonts w:hint="eastAsia" w:ascii="宋体" w:hAnsi="宋体" w:cs="仿宋"/>
          <w:color w:val="000000"/>
          <w:kern w:val="0"/>
          <w:sz w:val="24"/>
          <w:lang w:eastAsia="zh-CN" w:bidi="ar"/>
        </w:rPr>
        <w:t>（</w:t>
      </w:r>
      <w:r>
        <w:rPr>
          <w:rFonts w:hint="eastAsia" w:ascii="宋体" w:hAnsi="宋体" w:cs="仿宋"/>
          <w:color w:val="000000"/>
          <w:kern w:val="0"/>
          <w:sz w:val="24"/>
          <w:lang w:val="en-US" w:eastAsia="zh-CN" w:bidi="ar"/>
        </w:rPr>
        <w:t>1</w:t>
      </w:r>
      <w:r>
        <w:rPr>
          <w:rFonts w:hint="eastAsia" w:ascii="宋体" w:hAnsi="宋体" w:cs="仿宋"/>
          <w:color w:val="000000"/>
          <w:kern w:val="0"/>
          <w:sz w:val="24"/>
          <w:lang w:eastAsia="zh-CN" w:bidi="ar"/>
        </w:rPr>
        <w:t>）</w:t>
      </w:r>
      <w:r>
        <w:rPr>
          <w:rFonts w:hint="eastAsia" w:ascii="宋体" w:hAnsi="宋体" w:eastAsia="宋体" w:cs="仿宋"/>
          <w:color w:val="000000"/>
          <w:kern w:val="0"/>
          <w:sz w:val="24"/>
          <w:lang w:bidi="ar"/>
        </w:rPr>
        <w:t>专业基础课程</w:t>
      </w:r>
      <w:r>
        <w:rPr>
          <w:rFonts w:hint="eastAsia" w:ascii="宋体" w:hAnsi="宋体" w:cs="仿宋"/>
          <w:color w:val="000000"/>
          <w:kern w:val="0"/>
          <w:sz w:val="24"/>
          <w:lang w:val="en-US" w:eastAsia="zh-CN" w:bidi="ar"/>
        </w:rPr>
        <w:t xml:space="preserve">   </w:t>
      </w:r>
    </w:p>
    <w:p>
      <w:pPr>
        <w:numPr>
          <w:numId w:val="0"/>
        </w:numPr>
        <w:spacing w:line="360" w:lineRule="auto"/>
        <w:ind w:firstLine="480" w:firstLineChars="200"/>
        <w:jc w:val="left"/>
        <w:rPr>
          <w:rFonts w:hint="eastAsia" w:ascii="宋体" w:hAnsi="宋体" w:cs="仿宋"/>
          <w:color w:val="000000"/>
          <w:kern w:val="0"/>
          <w:sz w:val="24"/>
          <w:lang w:val="en-US" w:eastAsia="zh-CN" w:bidi="ar"/>
        </w:rPr>
      </w:pPr>
      <w:r>
        <w:rPr>
          <w:rFonts w:hint="eastAsia" w:ascii="宋体" w:hAnsi="宋体" w:cs="仿宋"/>
          <w:color w:val="000000"/>
          <w:kern w:val="0"/>
          <w:sz w:val="24"/>
          <w:lang w:val="en-US" w:eastAsia="zh-CN" w:bidi="ar"/>
        </w:rPr>
        <w:t>专业基础课程一般设置 6～8 门。包括人体解剖学、生理学、病理学、药理学、中医基础理论、中医诊断学、中药学、方剂学等课程。</w:t>
      </w:r>
    </w:p>
    <w:p>
      <w:pPr>
        <w:numPr>
          <w:numId w:val="0"/>
        </w:numPr>
        <w:spacing w:line="360" w:lineRule="auto"/>
        <w:ind w:firstLine="480" w:firstLineChars="200"/>
        <w:jc w:val="left"/>
        <w:rPr>
          <w:rFonts w:hint="eastAsia" w:ascii="宋体" w:hAnsi="宋体" w:cs="仿宋"/>
          <w:color w:val="000000"/>
          <w:kern w:val="0"/>
          <w:sz w:val="24"/>
          <w:lang w:val="en-US" w:eastAsia="zh-CN" w:bidi="ar"/>
        </w:rPr>
      </w:pPr>
      <w:r>
        <w:rPr>
          <w:rFonts w:hint="eastAsia" w:ascii="宋体" w:hAnsi="宋体" w:cs="仿宋"/>
          <w:color w:val="000000"/>
          <w:kern w:val="0"/>
          <w:sz w:val="24"/>
          <w:lang w:val="en-US" w:eastAsia="zh-CN" w:bidi="ar"/>
        </w:rPr>
        <w:t>（2）专业核心（技能）课程</w:t>
      </w:r>
    </w:p>
    <w:p>
      <w:pPr>
        <w:numPr>
          <w:numId w:val="0"/>
        </w:numPr>
        <w:spacing w:line="360" w:lineRule="auto"/>
        <w:ind w:firstLine="480" w:firstLineChars="200"/>
        <w:jc w:val="left"/>
        <w:rPr>
          <w:rFonts w:hint="eastAsia" w:ascii="宋体" w:hAnsi="宋体" w:cs="仿宋"/>
          <w:color w:val="000000"/>
          <w:kern w:val="0"/>
          <w:sz w:val="24"/>
          <w:lang w:val="en-US" w:eastAsia="zh-CN" w:bidi="ar"/>
        </w:rPr>
      </w:pPr>
      <w:r>
        <w:rPr>
          <w:rFonts w:hint="eastAsia" w:ascii="宋体" w:hAnsi="宋体" w:cs="仿宋"/>
          <w:color w:val="000000"/>
          <w:kern w:val="0"/>
          <w:sz w:val="24"/>
          <w:lang w:val="en-US" w:eastAsia="zh-CN" w:bidi="ar"/>
        </w:rPr>
        <w:t>一般设置 6～8 门，包括中医内科学、针灸学、中医外科学、中医妇科学、中医儿科学、诊断学基础、西医内科学等课程。</w:t>
      </w:r>
    </w:p>
    <w:p>
      <w:pPr>
        <w:numPr>
          <w:numId w:val="0"/>
        </w:numPr>
        <w:spacing w:line="360" w:lineRule="auto"/>
        <w:ind w:firstLine="480" w:firstLineChars="200"/>
        <w:jc w:val="left"/>
        <w:rPr>
          <w:rFonts w:hint="eastAsia" w:ascii="宋体" w:hAnsi="宋体" w:cs="仿宋"/>
          <w:color w:val="000000"/>
          <w:kern w:val="0"/>
          <w:sz w:val="24"/>
          <w:lang w:val="en-US" w:eastAsia="zh-CN" w:bidi="ar"/>
        </w:rPr>
      </w:pPr>
      <w:r>
        <w:rPr>
          <w:rFonts w:hint="eastAsia" w:ascii="宋体" w:hAnsi="宋体" w:cs="仿宋"/>
          <w:color w:val="000000"/>
          <w:kern w:val="0"/>
          <w:sz w:val="24"/>
          <w:lang w:val="en-US" w:eastAsia="zh-CN" w:bidi="ar"/>
        </w:rPr>
        <w:t>（3）专业拓展课程</w:t>
      </w:r>
    </w:p>
    <w:p>
      <w:pPr>
        <w:numPr>
          <w:numId w:val="0"/>
        </w:numPr>
        <w:spacing w:line="360" w:lineRule="auto"/>
        <w:ind w:firstLine="480" w:firstLineChars="200"/>
        <w:jc w:val="left"/>
        <w:rPr>
          <w:rFonts w:hint="eastAsia" w:ascii="宋体" w:hAnsi="宋体" w:cs="仿宋"/>
          <w:color w:val="000000"/>
          <w:kern w:val="0"/>
          <w:sz w:val="24"/>
          <w:lang w:val="en-US" w:eastAsia="zh-CN" w:bidi="ar"/>
        </w:rPr>
      </w:pPr>
      <w:r>
        <w:rPr>
          <w:rFonts w:hint="eastAsia" w:ascii="宋体" w:hAnsi="宋体" w:cs="仿宋"/>
          <w:color w:val="000000"/>
          <w:kern w:val="0"/>
          <w:sz w:val="24"/>
          <w:lang w:val="en-US" w:eastAsia="zh-CN" w:bidi="ar"/>
        </w:rPr>
        <w:t>包括中医经典选读、医学心理学、卫生法律法规等课程。</w:t>
      </w:r>
    </w:p>
    <w:p>
      <w:pPr>
        <w:numPr>
          <w:numId w:val="0"/>
        </w:numPr>
        <w:spacing w:line="360" w:lineRule="auto"/>
        <w:ind w:firstLine="480" w:firstLineChars="200"/>
        <w:jc w:val="left"/>
        <w:rPr>
          <w:rFonts w:hint="eastAsia" w:ascii="宋体" w:hAnsi="宋体" w:cs="仿宋"/>
          <w:color w:val="000000"/>
          <w:kern w:val="0"/>
          <w:sz w:val="24"/>
          <w:lang w:val="en-US" w:eastAsia="zh-CN" w:bidi="ar"/>
        </w:rPr>
      </w:pPr>
      <w:r>
        <w:rPr>
          <w:rFonts w:hint="eastAsia" w:ascii="宋体" w:hAnsi="宋体" w:cs="仿宋"/>
          <w:color w:val="000000"/>
          <w:kern w:val="0"/>
          <w:sz w:val="24"/>
          <w:lang w:val="en-US" w:eastAsia="zh-CN" w:bidi="ar"/>
        </w:rPr>
        <w:t>（4）专业选修课程</w:t>
      </w:r>
    </w:p>
    <w:p>
      <w:pPr>
        <w:numPr>
          <w:numId w:val="0"/>
        </w:numPr>
        <w:spacing w:line="360" w:lineRule="auto"/>
        <w:ind w:firstLine="480" w:firstLineChars="200"/>
        <w:jc w:val="left"/>
        <w:rPr>
          <w:rFonts w:hint="eastAsia" w:ascii="宋体" w:hAnsi="宋体" w:cs="仿宋"/>
          <w:color w:val="000000"/>
          <w:kern w:val="0"/>
          <w:sz w:val="24"/>
          <w:lang w:val="en-US" w:eastAsia="zh-CN" w:bidi="ar"/>
        </w:rPr>
      </w:pPr>
      <w:r>
        <w:rPr>
          <w:rFonts w:hint="eastAsia" w:ascii="宋体" w:hAnsi="宋体" w:cs="仿宋"/>
          <w:color w:val="000000"/>
          <w:kern w:val="0"/>
          <w:sz w:val="24"/>
          <w:lang w:val="en-US" w:eastAsia="zh-CN" w:bidi="ar"/>
        </w:rPr>
        <w:t>包括外科学、医学伦理学、传染病学、急救技术、中医全科医学、常用护理技术等课程。</w:t>
      </w:r>
    </w:p>
    <w:p>
      <w:pPr>
        <w:numPr>
          <w:ilvl w:val="0"/>
          <w:numId w:val="1"/>
        </w:numPr>
        <w:spacing w:line="360" w:lineRule="auto"/>
        <w:ind w:left="0" w:leftChars="0" w:firstLine="480" w:firstLineChars="200"/>
        <w:jc w:val="left"/>
        <w:rPr>
          <w:rFonts w:hint="eastAsia" w:ascii="宋体" w:hAnsi="宋体" w:cs="仿宋"/>
          <w:color w:val="000000"/>
          <w:kern w:val="0"/>
          <w:sz w:val="24"/>
          <w:lang w:val="en-US" w:eastAsia="zh-CN" w:bidi="ar"/>
        </w:rPr>
      </w:pPr>
      <w:r>
        <w:rPr>
          <w:rFonts w:hint="eastAsia" w:ascii="宋体" w:hAnsi="宋体" w:cs="仿宋"/>
          <w:color w:val="000000"/>
          <w:kern w:val="0"/>
          <w:sz w:val="24"/>
          <w:lang w:val="en-US" w:eastAsia="zh-CN" w:bidi="ar"/>
        </w:rPr>
        <w:t>专业核心课程主要教学内容</w:t>
      </w:r>
    </w:p>
    <w:tbl>
      <w:tblPr>
        <w:tblStyle w:val="5"/>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9"/>
        <w:gridCol w:w="1367"/>
        <w:gridCol w:w="5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9" w:type="dxa"/>
            <w:shd w:val="clear" w:color="auto" w:fill="FFFFFF" w:themeFill="background1"/>
            <w:noWrap w:val="0"/>
            <w:vAlign w:val="top"/>
          </w:tcPr>
          <w:p>
            <w:pPr>
              <w:spacing w:line="360" w:lineRule="auto"/>
              <w:jc w:val="center"/>
              <w:rPr>
                <w:rFonts w:hint="eastAsia" w:ascii="宋体" w:hAnsi="宋体"/>
                <w:b/>
                <w:bCs/>
                <w:szCs w:val="21"/>
              </w:rPr>
            </w:pPr>
            <w:r>
              <w:rPr>
                <w:rFonts w:hint="eastAsia" w:ascii="宋体" w:hAnsi="宋体"/>
                <w:b/>
                <w:bCs/>
                <w:szCs w:val="21"/>
              </w:rPr>
              <w:t>序号</w:t>
            </w:r>
          </w:p>
        </w:tc>
        <w:tc>
          <w:tcPr>
            <w:tcW w:w="1367" w:type="dxa"/>
            <w:shd w:val="clear" w:color="auto" w:fill="FFFFFF" w:themeFill="background1"/>
            <w:noWrap w:val="0"/>
            <w:vAlign w:val="top"/>
          </w:tcPr>
          <w:p>
            <w:pPr>
              <w:spacing w:line="360" w:lineRule="auto"/>
              <w:jc w:val="center"/>
              <w:rPr>
                <w:rFonts w:hint="eastAsia" w:ascii="宋体" w:hAnsi="宋体"/>
                <w:b/>
                <w:bCs/>
                <w:szCs w:val="21"/>
              </w:rPr>
            </w:pPr>
            <w:r>
              <w:rPr>
                <w:rFonts w:hint="eastAsia" w:ascii="宋体" w:hAnsi="宋体"/>
                <w:b/>
                <w:bCs/>
                <w:szCs w:val="21"/>
              </w:rPr>
              <w:t>课程名称</w:t>
            </w:r>
          </w:p>
        </w:tc>
        <w:tc>
          <w:tcPr>
            <w:tcW w:w="5784" w:type="dxa"/>
            <w:shd w:val="clear" w:color="auto" w:fill="FFFFFF" w:themeFill="background1"/>
            <w:noWrap w:val="0"/>
            <w:vAlign w:val="top"/>
          </w:tcPr>
          <w:p>
            <w:pPr>
              <w:spacing w:line="360" w:lineRule="auto"/>
              <w:ind w:firstLine="422" w:firstLineChars="200"/>
              <w:jc w:val="center"/>
              <w:rPr>
                <w:rFonts w:hint="eastAsia" w:ascii="宋体" w:hAnsi="宋体"/>
                <w:b/>
                <w:bCs/>
                <w:szCs w:val="21"/>
              </w:rPr>
            </w:pPr>
            <w:r>
              <w:rPr>
                <w:rFonts w:hint="eastAsia" w:ascii="宋体" w:hAnsi="宋体"/>
                <w:b/>
                <w:bCs/>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9" w:type="dxa"/>
            <w:noWrap w:val="0"/>
            <w:vAlign w:val="center"/>
          </w:tcPr>
          <w:p>
            <w:pPr>
              <w:spacing w:line="360" w:lineRule="auto"/>
              <w:ind w:firstLine="420" w:firstLineChars="200"/>
              <w:rPr>
                <w:rFonts w:hint="eastAsia" w:ascii="宋体" w:hAnsi="宋体"/>
                <w:szCs w:val="21"/>
              </w:rPr>
            </w:pPr>
            <w:r>
              <w:rPr>
                <w:rFonts w:hint="eastAsia" w:ascii="宋体" w:hAnsi="宋体"/>
                <w:szCs w:val="21"/>
              </w:rPr>
              <w:t>1</w:t>
            </w:r>
          </w:p>
        </w:tc>
        <w:tc>
          <w:tcPr>
            <w:tcW w:w="1367" w:type="dxa"/>
            <w:noWrap w:val="0"/>
            <w:vAlign w:val="center"/>
          </w:tcPr>
          <w:p>
            <w:pPr>
              <w:spacing w:line="360" w:lineRule="auto"/>
              <w:jc w:val="both"/>
              <w:rPr>
                <w:rFonts w:hint="eastAsia" w:ascii="宋体" w:hAnsi="宋体"/>
                <w:szCs w:val="21"/>
              </w:rPr>
            </w:pPr>
            <w:r>
              <w:rPr>
                <w:rFonts w:hint="eastAsia" w:ascii="宋体" w:hAnsi="宋体" w:cs="宋体"/>
                <w:szCs w:val="21"/>
              </w:rPr>
              <w:t>中医内科学</w:t>
            </w:r>
          </w:p>
        </w:tc>
        <w:tc>
          <w:tcPr>
            <w:tcW w:w="5784" w:type="dxa"/>
            <w:noWrap w:val="0"/>
            <w:vAlign w:val="center"/>
          </w:tcPr>
          <w:p>
            <w:pPr>
              <w:rPr>
                <w:rFonts w:hint="eastAsia" w:ascii="宋体" w:hAnsi="宋体"/>
                <w:szCs w:val="21"/>
              </w:rPr>
            </w:pPr>
            <w:r>
              <w:rPr>
                <w:rFonts w:hint="eastAsia" w:ascii="宋体" w:hAnsi="宋体" w:cs="宋体"/>
                <w:szCs w:val="21"/>
              </w:rPr>
              <w:t>肺系病证、心脑病证、脾胃病证、肝胆病证、肾系病证、气血津液病证、肢体经络病证、中医病历书写。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149" w:type="dxa"/>
            <w:noWrap w:val="0"/>
            <w:vAlign w:val="center"/>
          </w:tcPr>
          <w:p>
            <w:pPr>
              <w:spacing w:line="360" w:lineRule="auto"/>
              <w:ind w:firstLine="420" w:firstLineChars="200"/>
              <w:rPr>
                <w:rFonts w:hint="eastAsia" w:ascii="宋体" w:hAnsi="宋体"/>
                <w:szCs w:val="21"/>
              </w:rPr>
            </w:pPr>
            <w:r>
              <w:rPr>
                <w:rFonts w:hint="eastAsia" w:ascii="宋体" w:hAnsi="宋体"/>
                <w:szCs w:val="21"/>
              </w:rPr>
              <w:t>2</w:t>
            </w:r>
          </w:p>
        </w:tc>
        <w:tc>
          <w:tcPr>
            <w:tcW w:w="1367" w:type="dxa"/>
            <w:noWrap w:val="0"/>
            <w:vAlign w:val="center"/>
          </w:tcPr>
          <w:p>
            <w:pPr>
              <w:widowControl/>
              <w:jc w:val="center"/>
              <w:rPr>
                <w:rFonts w:hint="eastAsia" w:ascii="宋体" w:hAnsi="宋体" w:cs="宋体"/>
                <w:szCs w:val="21"/>
              </w:rPr>
            </w:pPr>
            <w:r>
              <w:rPr>
                <w:rFonts w:hint="eastAsia" w:ascii="宋体" w:hAnsi="宋体" w:cs="宋体"/>
                <w:szCs w:val="21"/>
              </w:rPr>
              <w:t>中医外</w:t>
            </w:r>
          </w:p>
          <w:p>
            <w:pPr>
              <w:widowControl/>
              <w:jc w:val="center"/>
              <w:rPr>
                <w:rFonts w:hint="eastAsia" w:ascii="宋体" w:hAnsi="宋体"/>
                <w:szCs w:val="21"/>
              </w:rPr>
            </w:pPr>
            <w:r>
              <w:rPr>
                <w:rFonts w:hint="eastAsia" w:ascii="宋体" w:hAnsi="宋体" w:cs="宋体"/>
                <w:szCs w:val="21"/>
              </w:rPr>
              <w:t>科学</w:t>
            </w:r>
          </w:p>
        </w:tc>
        <w:tc>
          <w:tcPr>
            <w:tcW w:w="5784" w:type="dxa"/>
            <w:noWrap w:val="0"/>
            <w:vAlign w:val="top"/>
          </w:tcPr>
          <w:p>
            <w:pPr>
              <w:jc w:val="left"/>
              <w:rPr>
                <w:rFonts w:hint="eastAsia" w:ascii="宋体" w:hAnsi="宋体" w:cs="宋体"/>
                <w:szCs w:val="21"/>
              </w:rPr>
            </w:pPr>
            <w:r>
              <w:rPr>
                <w:rFonts w:hint="eastAsia" w:ascii="宋体" w:hAnsi="宋体" w:cs="宋体"/>
                <w:szCs w:val="21"/>
              </w:rPr>
              <w:t>中医外科学发展概况、中医外科学范围、疾病名称及基本术语、中医外科疾病的时病因病机、中医外科疾病辨证、 中医外科疾病治法、中医外科调护、疮疡、皮肤病及性传播疾病。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9" w:type="dxa"/>
            <w:noWrap w:val="0"/>
            <w:vAlign w:val="center"/>
          </w:tcPr>
          <w:p>
            <w:pPr>
              <w:spacing w:line="360" w:lineRule="auto"/>
              <w:ind w:firstLine="420" w:firstLineChars="200"/>
              <w:rPr>
                <w:rFonts w:hint="eastAsia" w:ascii="宋体" w:hAnsi="宋体"/>
                <w:szCs w:val="21"/>
              </w:rPr>
            </w:pPr>
            <w:r>
              <w:rPr>
                <w:rFonts w:hint="eastAsia" w:ascii="宋体" w:hAnsi="宋体"/>
                <w:szCs w:val="21"/>
              </w:rPr>
              <w:t>3</w:t>
            </w:r>
          </w:p>
        </w:tc>
        <w:tc>
          <w:tcPr>
            <w:tcW w:w="1367" w:type="dxa"/>
            <w:noWrap w:val="0"/>
            <w:vAlign w:val="center"/>
          </w:tcPr>
          <w:p>
            <w:pPr>
              <w:widowControl/>
              <w:jc w:val="center"/>
              <w:rPr>
                <w:rFonts w:hint="eastAsia" w:ascii="宋体" w:hAnsi="宋体" w:cs="宋体"/>
                <w:szCs w:val="21"/>
              </w:rPr>
            </w:pPr>
            <w:r>
              <w:rPr>
                <w:rFonts w:hint="eastAsia" w:ascii="宋体" w:hAnsi="宋体" w:cs="宋体"/>
                <w:szCs w:val="21"/>
              </w:rPr>
              <w:t>中医妇</w:t>
            </w:r>
          </w:p>
          <w:p>
            <w:pPr>
              <w:widowControl/>
              <w:jc w:val="center"/>
              <w:rPr>
                <w:rFonts w:hint="eastAsia" w:ascii="宋体" w:hAnsi="宋体"/>
                <w:szCs w:val="21"/>
              </w:rPr>
            </w:pPr>
            <w:r>
              <w:rPr>
                <w:rFonts w:hint="eastAsia" w:ascii="宋体" w:hAnsi="宋体" w:cs="宋体"/>
                <w:szCs w:val="21"/>
              </w:rPr>
              <w:t>科学</w:t>
            </w:r>
          </w:p>
        </w:tc>
        <w:tc>
          <w:tcPr>
            <w:tcW w:w="5784" w:type="dxa"/>
            <w:noWrap w:val="0"/>
            <w:vAlign w:val="center"/>
          </w:tcPr>
          <w:p>
            <w:pPr>
              <w:jc w:val="left"/>
              <w:rPr>
                <w:rFonts w:hint="eastAsia" w:ascii="宋体" w:hAnsi="宋体"/>
                <w:szCs w:val="21"/>
              </w:rPr>
            </w:pPr>
            <w:r>
              <w:rPr>
                <w:rFonts w:hint="eastAsia" w:ascii="宋体" w:hAnsi="宋体" w:cs="宋体"/>
                <w:szCs w:val="21"/>
              </w:rPr>
              <w:t>中医妇科学的定义与特点、中医妇科学发展简史、女性的生殖器官解剖位置及其功能、女性生殖生理、妇科疾病的病因病机、妇科疾病的诊断与辨证、妇科疾病的治疗、各论包括月经病、带下病、妊娠病、产后病、妇科杂病、计划生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9" w:type="dxa"/>
            <w:noWrap w:val="0"/>
            <w:vAlign w:val="center"/>
          </w:tcPr>
          <w:p>
            <w:pPr>
              <w:spacing w:line="360" w:lineRule="auto"/>
              <w:jc w:val="center"/>
              <w:rPr>
                <w:rFonts w:hint="eastAsia" w:ascii="宋体" w:hAnsi="宋体"/>
                <w:szCs w:val="21"/>
              </w:rPr>
            </w:pPr>
            <w:r>
              <w:rPr>
                <w:rFonts w:hint="eastAsia" w:ascii="宋体" w:hAnsi="宋体"/>
                <w:szCs w:val="21"/>
              </w:rPr>
              <w:t>4</w:t>
            </w:r>
          </w:p>
        </w:tc>
        <w:tc>
          <w:tcPr>
            <w:tcW w:w="1367" w:type="dxa"/>
            <w:noWrap w:val="0"/>
            <w:vAlign w:val="center"/>
          </w:tcPr>
          <w:p>
            <w:pPr>
              <w:spacing w:line="360" w:lineRule="auto"/>
              <w:jc w:val="center"/>
              <w:rPr>
                <w:rFonts w:hint="eastAsia" w:ascii="宋体" w:hAnsi="宋体" w:cs="宋体"/>
                <w:szCs w:val="21"/>
              </w:rPr>
            </w:pPr>
            <w:r>
              <w:rPr>
                <w:rFonts w:hint="eastAsia" w:ascii="宋体" w:hAnsi="宋体" w:cs="宋体"/>
                <w:szCs w:val="21"/>
              </w:rPr>
              <w:t>中医儿</w:t>
            </w:r>
          </w:p>
          <w:p>
            <w:pPr>
              <w:spacing w:line="360" w:lineRule="auto"/>
              <w:jc w:val="center"/>
              <w:rPr>
                <w:rFonts w:hint="eastAsia" w:ascii="宋体" w:hAnsi="宋体"/>
                <w:szCs w:val="21"/>
              </w:rPr>
            </w:pPr>
            <w:r>
              <w:rPr>
                <w:rFonts w:hint="eastAsia" w:ascii="宋体" w:hAnsi="宋体" w:cs="宋体"/>
                <w:szCs w:val="21"/>
              </w:rPr>
              <w:t>科学</w:t>
            </w:r>
          </w:p>
        </w:tc>
        <w:tc>
          <w:tcPr>
            <w:tcW w:w="5784" w:type="dxa"/>
            <w:noWrap w:val="0"/>
            <w:vAlign w:val="top"/>
          </w:tcPr>
          <w:p>
            <w:pPr>
              <w:jc w:val="left"/>
              <w:rPr>
                <w:rFonts w:hint="eastAsia" w:ascii="宋体" w:hAnsi="宋体" w:cs="宋体"/>
                <w:szCs w:val="21"/>
              </w:rPr>
            </w:pPr>
            <w:r>
              <w:rPr>
                <w:rFonts w:hint="eastAsia" w:ascii="宋体" w:hAnsi="宋体" w:cs="宋体"/>
                <w:szCs w:val="21"/>
              </w:rPr>
              <w:t>中医儿科学发展简史、小儿年龄分期、小儿生长发育、生理病理病因特点、临证概要、儿童保健、新生儿病、肺系病证、脾胃系病证、 心肝系病证、肾系病证、传染病、 寄生虫病、 其他病证。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149" w:type="dxa"/>
            <w:noWrap w:val="0"/>
            <w:vAlign w:val="center"/>
          </w:tcPr>
          <w:p>
            <w:pPr>
              <w:spacing w:line="360" w:lineRule="auto"/>
              <w:ind w:firstLine="420" w:firstLineChars="200"/>
              <w:rPr>
                <w:rFonts w:hint="eastAsia" w:ascii="宋体" w:hAnsi="宋体"/>
                <w:szCs w:val="21"/>
              </w:rPr>
            </w:pPr>
            <w:r>
              <w:rPr>
                <w:rFonts w:hint="eastAsia" w:ascii="宋体" w:hAnsi="宋体"/>
                <w:szCs w:val="21"/>
              </w:rPr>
              <w:t>5</w:t>
            </w:r>
          </w:p>
        </w:tc>
        <w:tc>
          <w:tcPr>
            <w:tcW w:w="1367" w:type="dxa"/>
            <w:noWrap w:val="0"/>
            <w:vAlign w:val="center"/>
          </w:tcPr>
          <w:p>
            <w:pPr>
              <w:widowControl/>
              <w:jc w:val="center"/>
              <w:rPr>
                <w:rFonts w:hint="eastAsia" w:ascii="宋体" w:hAnsi="宋体"/>
                <w:szCs w:val="21"/>
              </w:rPr>
            </w:pPr>
            <w:r>
              <w:rPr>
                <w:rFonts w:hint="eastAsia" w:ascii="宋体" w:hAnsi="宋体" w:cs="宋体"/>
                <w:szCs w:val="21"/>
              </w:rPr>
              <w:t>针灸学</w:t>
            </w:r>
          </w:p>
        </w:tc>
        <w:tc>
          <w:tcPr>
            <w:tcW w:w="5784" w:type="dxa"/>
            <w:noWrap w:val="0"/>
            <w:vAlign w:val="top"/>
          </w:tcPr>
          <w:p>
            <w:pPr>
              <w:jc w:val="left"/>
              <w:rPr>
                <w:rFonts w:hint="eastAsia" w:ascii="宋体" w:hAnsi="宋体" w:cs="宋体"/>
                <w:szCs w:val="21"/>
              </w:rPr>
            </w:pPr>
            <w:r>
              <w:rPr>
                <w:rFonts w:hint="eastAsia" w:ascii="宋体" w:hAnsi="宋体" w:cs="宋体"/>
                <w:szCs w:val="21"/>
              </w:rPr>
              <w:t>针灸治疗的作用、原则，针灸辨证论治纲要，针灸</w:t>
            </w:r>
            <w:r>
              <w:rPr>
                <w:rFonts w:hint="eastAsia" w:ascii="宋体" w:hAnsi="宋体" w:cs="宋体"/>
                <w:szCs w:val="21"/>
                <w:lang w:val="en-US" w:eastAsia="zh-CN"/>
              </w:rPr>
              <w:t>的</w:t>
            </w:r>
            <w:r>
              <w:rPr>
                <w:rFonts w:hint="eastAsia" w:ascii="宋体" w:hAnsi="宋体" w:cs="宋体"/>
                <w:szCs w:val="21"/>
              </w:rPr>
              <w:t>配穴处方，急症、内科病症、妇科病症、儿科病症、皮外骨伤科病症、五官科病症辨证要点、针灸治则、针灸处方、操作技术、预后及调护方法。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3" w:hRule="atLeast"/>
          <w:jc w:val="center"/>
        </w:trPr>
        <w:tc>
          <w:tcPr>
            <w:tcW w:w="1149" w:type="dxa"/>
            <w:noWrap w:val="0"/>
            <w:vAlign w:val="center"/>
          </w:tcPr>
          <w:p>
            <w:pPr>
              <w:spacing w:line="360" w:lineRule="auto"/>
              <w:ind w:firstLine="420" w:firstLineChars="200"/>
              <w:rPr>
                <w:rFonts w:hint="eastAsia" w:ascii="宋体" w:hAnsi="宋体"/>
                <w:szCs w:val="21"/>
              </w:rPr>
            </w:pPr>
            <w:r>
              <w:rPr>
                <w:rFonts w:hint="eastAsia" w:ascii="宋体" w:hAnsi="宋体"/>
                <w:szCs w:val="21"/>
              </w:rPr>
              <w:t>6</w:t>
            </w:r>
          </w:p>
        </w:tc>
        <w:tc>
          <w:tcPr>
            <w:tcW w:w="1367" w:type="dxa"/>
            <w:noWrap w:val="0"/>
            <w:vAlign w:val="center"/>
          </w:tcPr>
          <w:p>
            <w:pPr>
              <w:spacing w:line="360" w:lineRule="auto"/>
              <w:jc w:val="center"/>
              <w:rPr>
                <w:rFonts w:ascii="宋体" w:hAnsi="宋体" w:cs="宋体"/>
                <w:color w:val="000000"/>
                <w:szCs w:val="21"/>
              </w:rPr>
            </w:pPr>
            <w:r>
              <w:rPr>
                <w:rFonts w:hint="eastAsia" w:ascii="宋体" w:hAnsi="宋体" w:cs="宋体"/>
                <w:color w:val="000000"/>
                <w:szCs w:val="21"/>
              </w:rPr>
              <w:t>诊断学</w:t>
            </w:r>
          </w:p>
          <w:p>
            <w:pPr>
              <w:widowControl/>
              <w:jc w:val="left"/>
              <w:rPr>
                <w:rFonts w:hint="eastAsia" w:ascii="宋体" w:hAnsi="宋体"/>
                <w:szCs w:val="21"/>
              </w:rPr>
            </w:pPr>
          </w:p>
        </w:tc>
        <w:tc>
          <w:tcPr>
            <w:tcW w:w="5784" w:type="dxa"/>
            <w:noWrap w:val="0"/>
            <w:vAlign w:val="top"/>
          </w:tcPr>
          <w:p>
            <w:pPr>
              <w:jc w:val="left"/>
              <w:rPr>
                <w:rFonts w:hint="eastAsia" w:ascii="宋体" w:hAnsi="宋体" w:cs="宋体"/>
                <w:szCs w:val="21"/>
              </w:rPr>
            </w:pPr>
            <w:r>
              <w:rPr>
                <w:rFonts w:hint="eastAsia" w:ascii="宋体" w:hAnsi="宋体" w:cs="宋体"/>
                <w:szCs w:val="21"/>
              </w:rPr>
              <w:t>是阐述疾病诊断的基础理论、基本知识和基本技能的一门医学课程，是联系基础医学和临床医学的桥梁课程。讲述如何掌握疾病诊断的基础理论、基本知识和基本技能，学会利用正确的方法和技巧获取临床资料，在熟悉临床资料的基础上，以科学的思维方式综合分析做出初步诊断，并能完成规范的病历书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9" w:type="dxa"/>
            <w:noWrap w:val="0"/>
            <w:vAlign w:val="center"/>
          </w:tcPr>
          <w:p>
            <w:pPr>
              <w:spacing w:line="360" w:lineRule="auto"/>
              <w:ind w:firstLine="420" w:firstLineChars="200"/>
              <w:rPr>
                <w:rFonts w:hint="eastAsia" w:ascii="宋体" w:hAnsi="宋体"/>
                <w:szCs w:val="21"/>
              </w:rPr>
            </w:pPr>
            <w:r>
              <w:rPr>
                <w:rFonts w:hint="eastAsia" w:ascii="宋体" w:hAnsi="宋体"/>
                <w:szCs w:val="21"/>
              </w:rPr>
              <w:t>7</w:t>
            </w:r>
          </w:p>
        </w:tc>
        <w:tc>
          <w:tcPr>
            <w:tcW w:w="1367" w:type="dxa"/>
            <w:noWrap w:val="0"/>
            <w:vAlign w:val="center"/>
          </w:tcPr>
          <w:p>
            <w:pPr>
              <w:spacing w:line="360" w:lineRule="auto"/>
              <w:jc w:val="center"/>
              <w:rPr>
                <w:rFonts w:hint="eastAsia" w:ascii="宋体" w:hAnsi="宋体"/>
                <w:szCs w:val="21"/>
              </w:rPr>
            </w:pPr>
            <w:r>
              <w:rPr>
                <w:rFonts w:hint="eastAsia" w:ascii="宋体" w:hAnsi="宋体" w:cs="宋体"/>
                <w:szCs w:val="21"/>
              </w:rPr>
              <w:t>内科学</w:t>
            </w:r>
          </w:p>
        </w:tc>
        <w:tc>
          <w:tcPr>
            <w:tcW w:w="5784" w:type="dxa"/>
            <w:noWrap w:val="0"/>
            <w:vAlign w:val="top"/>
          </w:tcPr>
          <w:p>
            <w:pPr>
              <w:jc w:val="left"/>
              <w:rPr>
                <w:rFonts w:hint="eastAsia" w:ascii="宋体" w:hAnsi="宋体" w:cs="宋体"/>
                <w:szCs w:val="21"/>
              </w:rPr>
            </w:pPr>
            <w:r>
              <w:rPr>
                <w:rFonts w:hint="eastAsia" w:ascii="宋体" w:hAnsi="宋体" w:cs="宋体"/>
                <w:szCs w:val="21"/>
              </w:rPr>
              <w:t>呼吸系统疾病、循环系统疾病、消化系统疾病、泌尿系统疾病、血液系统疾病、内分泌代谢疾病、风湿性疾病、神经系统疾病、精神疾病等。</w:t>
            </w:r>
          </w:p>
        </w:tc>
      </w:tr>
    </w:tbl>
    <w:p>
      <w:pPr>
        <w:numPr>
          <w:ilvl w:val="0"/>
          <w:numId w:val="0"/>
        </w:numPr>
        <w:spacing w:line="360" w:lineRule="auto"/>
        <w:ind w:firstLine="480" w:firstLineChars="200"/>
        <w:jc w:val="left"/>
        <w:rPr>
          <w:rFonts w:hint="eastAsia" w:ascii="宋体" w:hAnsi="宋体" w:cs="仿宋"/>
          <w:color w:val="000000"/>
          <w:kern w:val="0"/>
          <w:sz w:val="24"/>
          <w:lang w:val="en-US" w:eastAsia="zh-CN" w:bidi="ar"/>
        </w:rPr>
      </w:pPr>
      <w:r>
        <w:rPr>
          <w:rFonts w:hint="eastAsia" w:ascii="宋体" w:hAnsi="宋体" w:cs="仿宋"/>
          <w:color w:val="000000"/>
          <w:kern w:val="0"/>
          <w:sz w:val="24"/>
          <w:lang w:val="en-US" w:eastAsia="zh-CN" w:bidi="ar"/>
        </w:rPr>
        <w:t xml:space="preserve">4.实践性教学环节   </w:t>
      </w:r>
    </w:p>
    <w:p>
      <w:pPr>
        <w:numPr>
          <w:ilvl w:val="0"/>
          <w:numId w:val="0"/>
        </w:numPr>
        <w:spacing w:line="360" w:lineRule="auto"/>
        <w:ind w:firstLine="480" w:firstLineChars="200"/>
        <w:jc w:val="left"/>
        <w:rPr>
          <w:rFonts w:hint="eastAsia" w:ascii="宋体" w:hAnsi="宋体" w:cs="仿宋"/>
          <w:color w:val="000000"/>
          <w:kern w:val="0"/>
          <w:sz w:val="24"/>
          <w:lang w:val="en-US" w:eastAsia="zh-CN" w:bidi="ar"/>
        </w:rPr>
      </w:pPr>
      <w:r>
        <w:rPr>
          <w:rFonts w:hint="eastAsia" w:ascii="宋体" w:hAnsi="宋体" w:cs="仿宋"/>
          <w:color w:val="000000"/>
          <w:kern w:val="0"/>
          <w:sz w:val="24"/>
          <w:lang w:val="en-US" w:eastAsia="zh-CN" w:bidi="ar"/>
        </w:rPr>
        <w:t>实践性教学环节主要包括实验、实训、实习、社会实践等。实验、实训可在校内实验实训室、校外实训基地、附属医院或相关协作医院完成；临床见习要在附属医院和教学医院完成；顶岗实习需在二级甲等及以上综合性医院和有一定规模的基层医疗卫生服务机构完成。应严格执行《职业学校学生实习管理规定》和《高等职业院校临床医学专业顶岗实习标准》。</w:t>
      </w:r>
    </w:p>
    <w:p>
      <w:pPr>
        <w:numPr>
          <w:ilvl w:val="0"/>
          <w:numId w:val="0"/>
        </w:numPr>
        <w:spacing w:line="360" w:lineRule="auto"/>
        <w:ind w:firstLine="480" w:firstLineChars="200"/>
        <w:jc w:val="left"/>
        <w:rPr>
          <w:rFonts w:hint="eastAsia" w:ascii="宋体" w:hAnsi="宋体" w:cs="仿宋"/>
          <w:color w:val="000000"/>
          <w:kern w:val="0"/>
          <w:sz w:val="24"/>
          <w:lang w:val="en-US" w:eastAsia="zh-CN" w:bidi="ar"/>
        </w:rPr>
      </w:pPr>
      <w:r>
        <w:rPr>
          <w:rFonts w:hint="eastAsia" w:ascii="宋体" w:hAnsi="宋体" w:cs="仿宋"/>
          <w:color w:val="000000"/>
          <w:kern w:val="0"/>
          <w:sz w:val="24"/>
          <w:lang w:val="en-US" w:eastAsia="zh-CN" w:bidi="ar"/>
        </w:rPr>
        <w:t>5. 相关要求</w:t>
      </w:r>
    </w:p>
    <w:p>
      <w:pPr>
        <w:numPr>
          <w:ilvl w:val="0"/>
          <w:numId w:val="0"/>
        </w:numPr>
        <w:spacing w:line="360" w:lineRule="auto"/>
        <w:ind w:firstLine="480" w:firstLineChars="200"/>
        <w:jc w:val="left"/>
        <w:rPr>
          <w:rFonts w:hint="eastAsia" w:ascii="宋体" w:hAnsi="宋体" w:cs="仿宋"/>
          <w:color w:val="000000"/>
          <w:kern w:val="0"/>
          <w:sz w:val="24"/>
          <w:lang w:val="en-US" w:eastAsia="zh-CN" w:bidi="ar"/>
        </w:rPr>
      </w:pPr>
      <w:r>
        <w:rPr>
          <w:rFonts w:hint="eastAsia" w:ascii="宋体" w:hAnsi="宋体" w:cs="仿宋"/>
          <w:color w:val="000000"/>
          <w:kern w:val="0"/>
          <w:sz w:val="24"/>
          <w:lang w:val="en-US" w:eastAsia="zh-CN" w:bidi="ar"/>
        </w:rPr>
        <w:t>学校应结合实际，落实课程思政，推进全员全过程全方位“三全育人”，实现思想政治教育与专业培养的有机统一。开设安全教育、社会责任、绿色环保、管理等方面的选修课程、拓展课程或专题讲座（活动），并将有关内容融入到专业课程教学；将创新创业教育融入到专业课程教学和有关实践性教学；自主开设其他特色课程；组织开展德育活动、志愿服务活动和其他实践活动。</w:t>
      </w:r>
    </w:p>
    <w:p>
      <w:pPr>
        <w:numPr>
          <w:ilvl w:val="0"/>
          <w:numId w:val="0"/>
        </w:numPr>
        <w:spacing w:line="360" w:lineRule="auto"/>
        <w:ind w:firstLine="480" w:firstLineChars="200"/>
        <w:jc w:val="left"/>
        <w:rPr>
          <w:rFonts w:hint="eastAsia" w:ascii="宋体" w:hAnsi="宋体" w:cs="仿宋"/>
          <w:color w:val="000000"/>
          <w:kern w:val="0"/>
          <w:sz w:val="24"/>
          <w:lang w:val="en-US" w:eastAsia="zh-CN" w:bidi="ar"/>
        </w:rPr>
      </w:pPr>
      <w:r>
        <w:rPr>
          <w:rFonts w:hint="eastAsia" w:ascii="宋体" w:hAnsi="宋体" w:cs="仿宋"/>
          <w:color w:val="000000"/>
          <w:kern w:val="0"/>
          <w:sz w:val="24"/>
          <w:lang w:val="en-US" w:eastAsia="zh-CN" w:bidi="ar"/>
        </w:rPr>
        <w:t xml:space="preserve">（二）学时安排 </w:t>
      </w:r>
    </w:p>
    <w:p>
      <w:pPr>
        <w:numPr>
          <w:ilvl w:val="0"/>
          <w:numId w:val="0"/>
        </w:numPr>
        <w:spacing w:line="360" w:lineRule="auto"/>
        <w:ind w:firstLine="480" w:firstLineChars="200"/>
        <w:jc w:val="left"/>
        <w:rPr>
          <w:rFonts w:hint="eastAsia" w:ascii="宋体" w:hAnsi="宋体" w:cs="仿宋"/>
          <w:color w:val="000000"/>
          <w:kern w:val="0"/>
          <w:sz w:val="24"/>
          <w:lang w:val="en-US" w:eastAsia="zh-CN" w:bidi="ar"/>
        </w:rPr>
      </w:pPr>
      <w:r>
        <w:rPr>
          <w:rFonts w:hint="eastAsia" w:ascii="宋体" w:hAnsi="宋体" w:cs="仿宋"/>
          <w:color w:val="000000"/>
          <w:kern w:val="0"/>
          <w:sz w:val="24"/>
          <w:lang w:val="en-US" w:eastAsia="zh-CN" w:bidi="ar"/>
        </w:rPr>
        <w:t>总学时一般为 3000 学时，每 18 学时折算 1 学分。公共基础课学时一般不少于总学时的 25%。实践性教学学时原则上不少于总学时的 50%，其中，顶岗实习累计时间一般不少于 10 个月（含不少于 4 周的基层医疗卫生服务机构实习）。各类选修课程学时累计不少于总学时的 10%。</w:t>
      </w:r>
    </w:p>
    <w:p>
      <w:pPr>
        <w:numPr>
          <w:numId w:val="0"/>
        </w:numPr>
        <w:spacing w:line="360" w:lineRule="auto"/>
        <w:ind w:firstLine="482" w:firstLineChars="200"/>
        <w:outlineLvl w:val="1"/>
        <w:rPr>
          <w:rFonts w:hint="eastAsia" w:ascii="宋体" w:hAnsi="宋体" w:cs="仿宋"/>
          <w:b/>
          <w:bCs/>
          <w:color w:val="000000"/>
          <w:kern w:val="0"/>
          <w:sz w:val="24"/>
          <w:lang w:val="en-US" w:eastAsia="zh-CN" w:bidi="ar"/>
        </w:rPr>
      </w:pPr>
      <w:r>
        <w:rPr>
          <w:rFonts w:hint="eastAsia" w:ascii="宋体" w:hAnsi="宋体" w:cs="仿宋"/>
          <w:b/>
          <w:bCs/>
          <w:color w:val="000000"/>
          <w:kern w:val="0"/>
          <w:sz w:val="24"/>
          <w:lang w:val="en-US" w:eastAsia="zh-CN" w:bidi="ar"/>
        </w:rPr>
        <w:t>八、教学基本条件</w:t>
      </w:r>
      <w:bookmarkStart w:id="35" w:name="_Toc28045"/>
      <w:bookmarkStart w:id="36" w:name="_Toc53692861"/>
      <w:bookmarkStart w:id="37" w:name="_Toc27330"/>
    </w:p>
    <w:p>
      <w:pPr>
        <w:numPr>
          <w:numId w:val="0"/>
        </w:numPr>
        <w:spacing w:line="360" w:lineRule="auto"/>
        <w:ind w:firstLine="480" w:firstLineChars="200"/>
        <w:outlineLvl w:val="1"/>
        <w:rPr>
          <w:rFonts w:hint="eastAsia" w:eastAsia="方正仿宋简体"/>
          <w:b w:val="0"/>
          <w:bCs w:val="0"/>
          <w:color w:val="000000"/>
          <w:sz w:val="24"/>
          <w:szCs w:val="21"/>
        </w:rPr>
      </w:pPr>
      <w:r>
        <w:rPr>
          <w:rFonts w:hint="eastAsia" w:eastAsia="方正仿宋简体"/>
          <w:b w:val="0"/>
          <w:bCs w:val="0"/>
          <w:color w:val="000000"/>
          <w:sz w:val="24"/>
          <w:szCs w:val="21"/>
        </w:rPr>
        <w:t>（一）师资队伍</w:t>
      </w:r>
      <w:bookmarkEnd w:id="35"/>
      <w:bookmarkEnd w:id="36"/>
      <w:bookmarkEnd w:id="37"/>
    </w:p>
    <w:p>
      <w:pPr>
        <w:widowControl/>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1.队伍结构</w:t>
      </w:r>
    </w:p>
    <w:p>
      <w:pPr>
        <w:spacing w:line="360" w:lineRule="auto"/>
        <w:ind w:firstLine="480"/>
        <w:outlineLvl w:val="0"/>
        <w:rPr>
          <w:rFonts w:hint="eastAsia" w:ascii="宋体" w:hAnsi="宋体" w:cs="宋体"/>
          <w:color w:val="000000"/>
          <w:sz w:val="24"/>
        </w:rPr>
      </w:pPr>
      <w:bookmarkStart w:id="38" w:name="_Toc9589"/>
      <w:bookmarkStart w:id="39" w:name="_Toc24585"/>
      <w:bookmarkStart w:id="40" w:name="_Toc26965"/>
      <w:bookmarkStart w:id="41" w:name="_Toc17469"/>
      <w:bookmarkStart w:id="42" w:name="_Toc24509"/>
      <w:bookmarkStart w:id="43" w:name="_Toc26041"/>
      <w:r>
        <w:rPr>
          <w:rFonts w:hint="eastAsia" w:ascii="宋体" w:hAnsi="宋体" w:cs="宋体"/>
          <w:bCs/>
          <w:sz w:val="24"/>
        </w:rPr>
        <w:t>本专业教师团队，适应素质教育要求，爱岗敬业、与时俱进、业务精湛、求真务实、热衷科研、勇于创新，教学和科研能力较强、临床经验也较丰富的“双师型”教学团队。专任教师队伍形成职称、年龄合理的梯队结构。学生数与本专业专任教师数比例不高于25:1，双师素质教师占专业教师比例70%。</w:t>
      </w:r>
      <w:bookmarkEnd w:id="38"/>
      <w:bookmarkEnd w:id="39"/>
      <w:bookmarkEnd w:id="40"/>
      <w:bookmarkEnd w:id="41"/>
      <w:bookmarkEnd w:id="42"/>
      <w:bookmarkEnd w:id="43"/>
    </w:p>
    <w:p>
      <w:pPr>
        <w:widowControl/>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2.专任教师</w:t>
      </w:r>
    </w:p>
    <w:p>
      <w:pPr>
        <w:widowControl/>
        <w:spacing w:line="360" w:lineRule="auto"/>
        <w:ind w:firstLine="480" w:firstLineChars="200"/>
        <w:jc w:val="left"/>
        <w:rPr>
          <w:rFonts w:hint="eastAsia" w:ascii="宋体" w:hAnsi="宋体" w:cs="宋体"/>
          <w:sz w:val="24"/>
          <w:szCs w:val="20"/>
        </w:rPr>
      </w:pPr>
      <w:r>
        <w:rPr>
          <w:rFonts w:hint="eastAsia" w:ascii="宋体" w:hAnsi="宋体" w:cs="宋体"/>
          <w:color w:val="000000"/>
          <w:sz w:val="24"/>
        </w:rPr>
        <w:t>中医学专任教师具有高校教师资格；有理想信念、有道德情操、有扎实学识、有仁爱之心；具有</w:t>
      </w:r>
      <w:r>
        <w:rPr>
          <w:rFonts w:hint="eastAsia" w:ascii="宋体" w:hAnsi="宋体" w:cs="宋体"/>
          <w:color w:val="000000"/>
          <w:sz w:val="24"/>
          <w:lang w:val="en-US" w:eastAsia="zh-CN"/>
        </w:rPr>
        <w:t>中医或针推</w:t>
      </w:r>
      <w:r>
        <w:rPr>
          <w:rFonts w:hint="eastAsia" w:ascii="宋体" w:hAnsi="宋体" w:cs="宋体"/>
          <w:color w:val="000000"/>
          <w:sz w:val="24"/>
        </w:rPr>
        <w:t>等相关专业本科及以上学历；具有扎实的本专业相关理论功底和实践能力；具有较强信息化教学能力，能够开展课程教学改革和科学研究；有每5年累计不少于6个月的临床医院实践经历。</w:t>
      </w:r>
    </w:p>
    <w:p>
      <w:pPr>
        <w:widowControl/>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3.专业带头人</w:t>
      </w:r>
    </w:p>
    <w:p>
      <w:pPr>
        <w:spacing w:line="360" w:lineRule="auto"/>
        <w:ind w:firstLine="480" w:firstLineChars="200"/>
        <w:jc w:val="left"/>
        <w:rPr>
          <w:rFonts w:hint="eastAsia" w:ascii="宋体" w:hAnsi="宋体" w:cs="宋体"/>
          <w:sz w:val="24"/>
          <w:szCs w:val="20"/>
        </w:rPr>
      </w:pPr>
      <w:r>
        <w:rPr>
          <w:rFonts w:hint="eastAsia" w:ascii="宋体" w:hAnsi="宋体" w:cs="宋体"/>
          <w:sz w:val="24"/>
          <w:szCs w:val="20"/>
        </w:rPr>
        <w:t>有高级职称高水平的专业带头人</w:t>
      </w:r>
      <w:r>
        <w:rPr>
          <w:rFonts w:ascii="宋体" w:hAnsi="宋体" w:cs="宋体"/>
          <w:sz w:val="24"/>
          <w:szCs w:val="20"/>
        </w:rPr>
        <w:t>3</w:t>
      </w:r>
      <w:r>
        <w:rPr>
          <w:rFonts w:hint="eastAsia" w:ascii="宋体" w:hAnsi="宋体" w:cs="宋体"/>
          <w:sz w:val="24"/>
          <w:szCs w:val="20"/>
        </w:rPr>
        <w:t>名，能够较好地把握国内外中医行业、专业发展，能广泛联系医疗机构，了解行业和用人单位第本专业人才的需求实际，教学设计、专业研究能力强，组织开展教科研工作能力强，在本地区相关行业企业具有较大的影响力。</w:t>
      </w:r>
    </w:p>
    <w:p>
      <w:pPr>
        <w:widowControl/>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4.兼职教师</w:t>
      </w:r>
    </w:p>
    <w:p>
      <w:pPr>
        <w:spacing w:line="360" w:lineRule="auto"/>
        <w:ind w:firstLine="480" w:firstLineChars="200"/>
        <w:jc w:val="left"/>
        <w:rPr>
          <w:rFonts w:ascii="宋体" w:hAnsi="宋体" w:cs="宋体"/>
          <w:sz w:val="24"/>
          <w:szCs w:val="20"/>
        </w:rPr>
      </w:pPr>
      <w:r>
        <w:rPr>
          <w:rFonts w:hint="eastAsia" w:ascii="宋体" w:hAnsi="宋体" w:cs="宋体"/>
          <w:sz w:val="24"/>
          <w:szCs w:val="20"/>
        </w:rPr>
        <w:t>兼职教师10人，均为硕士研究生，在临床一线工作多年，临床经验丰富，教学经验充足，具有良好的思想政治素质和职业道德，具有扎实的中医学专业知识和丰富的中医临床工作经历，具有中级及以上相关专业职称。</w:t>
      </w:r>
    </w:p>
    <w:p>
      <w:pPr>
        <w:spacing w:line="360" w:lineRule="auto"/>
        <w:ind w:firstLine="240" w:firstLineChars="100"/>
        <w:outlineLvl w:val="1"/>
        <w:rPr>
          <w:rFonts w:hint="eastAsia" w:eastAsia="方正仿宋简体"/>
          <w:b w:val="0"/>
          <w:bCs w:val="0"/>
          <w:color w:val="000000"/>
          <w:sz w:val="24"/>
          <w:szCs w:val="21"/>
        </w:rPr>
      </w:pPr>
      <w:bookmarkStart w:id="44" w:name="_Toc30268"/>
      <w:bookmarkStart w:id="45" w:name="_Toc53692862"/>
      <w:bookmarkStart w:id="46" w:name="_Toc12763"/>
      <w:bookmarkStart w:id="47" w:name="_Hlk52052971"/>
      <w:r>
        <w:rPr>
          <w:rFonts w:hint="eastAsia" w:eastAsia="方正仿宋简体"/>
          <w:b w:val="0"/>
          <w:bCs w:val="0"/>
          <w:color w:val="000000"/>
          <w:sz w:val="24"/>
          <w:szCs w:val="21"/>
        </w:rPr>
        <w:t>（二）教学设施</w:t>
      </w:r>
      <w:bookmarkEnd w:id="44"/>
      <w:bookmarkEnd w:id="45"/>
      <w:bookmarkEnd w:id="46"/>
    </w:p>
    <w:bookmarkEnd w:id="47"/>
    <w:p>
      <w:pPr>
        <w:spacing w:line="360" w:lineRule="auto"/>
        <w:ind w:firstLine="480" w:firstLineChars="200"/>
        <w:rPr>
          <w:rFonts w:hint="eastAsia" w:ascii="宋体" w:hAnsi="宋体" w:cs="华文仿宋"/>
          <w:bCs/>
          <w:color w:val="000000"/>
          <w:kern w:val="0"/>
          <w:sz w:val="24"/>
        </w:rPr>
      </w:pPr>
      <w:r>
        <w:rPr>
          <w:rFonts w:hint="eastAsia" w:ascii="宋体" w:hAnsi="宋体" w:cs="华文仿宋"/>
          <w:bCs/>
          <w:color w:val="000000"/>
          <w:kern w:val="0"/>
          <w:sz w:val="24"/>
        </w:rPr>
        <w:t>1.专业教室基本条件</w:t>
      </w:r>
    </w:p>
    <w:p>
      <w:pPr>
        <w:spacing w:line="360" w:lineRule="auto"/>
        <w:ind w:firstLine="480" w:firstLineChars="200"/>
        <w:jc w:val="left"/>
        <w:rPr>
          <w:rFonts w:ascii="宋体" w:hAnsi="宋体" w:cs="宋体"/>
          <w:sz w:val="24"/>
          <w:szCs w:val="20"/>
        </w:rPr>
      </w:pPr>
      <w:r>
        <w:rPr>
          <w:rFonts w:hint="eastAsia" w:ascii="宋体" w:hAnsi="宋体" w:cs="宋体"/>
          <w:sz w:val="24"/>
          <w:szCs w:val="20"/>
        </w:rPr>
        <w:t>专业教室配有“智慧”黑板、黑（白）板、多媒体计算机、投影设备、音响设备、互连网接入或</w:t>
      </w:r>
      <w:r>
        <w:rPr>
          <w:rFonts w:ascii="宋体" w:hAnsi="宋体" w:cs="宋体"/>
          <w:sz w:val="24"/>
          <w:szCs w:val="20"/>
        </w:rPr>
        <w:t>wi-Fi</w:t>
      </w:r>
      <w:r>
        <w:rPr>
          <w:rFonts w:hint="eastAsia" w:ascii="宋体" w:hAnsi="宋体" w:cs="宋体"/>
          <w:sz w:val="24"/>
          <w:szCs w:val="20"/>
        </w:rPr>
        <w:t>环境，并实施网络安全防护措施；同时安装应急照明装置并保持良好状态，符合紧急疏散要求，标志明显，保持逃生通道畅通无阻。</w:t>
      </w:r>
    </w:p>
    <w:p>
      <w:pPr>
        <w:spacing w:line="360" w:lineRule="auto"/>
        <w:ind w:firstLine="480" w:firstLineChars="200"/>
        <w:rPr>
          <w:rFonts w:hint="eastAsia" w:ascii="宋体" w:hAnsi="宋体" w:cs="华文仿宋"/>
          <w:bCs/>
          <w:color w:val="000000"/>
          <w:kern w:val="0"/>
          <w:sz w:val="24"/>
        </w:rPr>
      </w:pPr>
      <w:r>
        <w:rPr>
          <w:rFonts w:hint="eastAsia" w:ascii="宋体" w:hAnsi="宋体" w:cs="华文仿宋"/>
          <w:bCs/>
          <w:color w:val="000000"/>
          <w:kern w:val="0"/>
          <w:sz w:val="24"/>
        </w:rPr>
        <w:t>2.校内实训室基本要求</w:t>
      </w:r>
    </w:p>
    <w:p>
      <w:pPr>
        <w:spacing w:line="360" w:lineRule="auto"/>
        <w:ind w:firstLine="480" w:firstLineChars="200"/>
        <w:jc w:val="left"/>
        <w:rPr>
          <w:rFonts w:ascii="宋体" w:hAnsi="宋体" w:cs="宋体"/>
          <w:sz w:val="24"/>
          <w:szCs w:val="20"/>
        </w:rPr>
      </w:pPr>
      <w:r>
        <w:rPr>
          <w:rFonts w:hint="eastAsia" w:ascii="宋体" w:hAnsi="宋体" w:cs="宋体"/>
          <w:sz w:val="24"/>
          <w:szCs w:val="20"/>
        </w:rPr>
        <w:t>根据课程设置，配备相应的实验实训室，具有相应的实验实训设备和器材，配备专职实验管理人员，实训室非上课时间定时对学生开放。</w:t>
      </w:r>
    </w:p>
    <w:p>
      <w:pPr>
        <w:spacing w:line="360" w:lineRule="auto"/>
        <w:ind w:firstLine="480" w:firstLineChars="200"/>
        <w:jc w:val="left"/>
        <w:rPr>
          <w:rFonts w:ascii="宋体" w:hAnsi="宋体" w:cs="宋体"/>
          <w:sz w:val="24"/>
          <w:szCs w:val="20"/>
        </w:rPr>
      </w:pPr>
      <w:r>
        <w:rPr>
          <w:rFonts w:ascii="宋体" w:hAnsi="宋体" w:cs="宋体"/>
          <w:sz w:val="24"/>
          <w:szCs w:val="20"/>
        </w:rPr>
        <w:t>(1)</w:t>
      </w:r>
      <w:r>
        <w:rPr>
          <w:rFonts w:hint="eastAsia" w:ascii="宋体" w:hAnsi="宋体" w:cs="宋体"/>
          <w:sz w:val="24"/>
          <w:szCs w:val="20"/>
        </w:rPr>
        <w:t>人体解剖实训室</w:t>
      </w:r>
    </w:p>
    <w:p>
      <w:pPr>
        <w:spacing w:line="360" w:lineRule="auto"/>
        <w:ind w:firstLine="480" w:firstLineChars="200"/>
        <w:jc w:val="left"/>
        <w:rPr>
          <w:rFonts w:ascii="宋体" w:hAnsi="宋体" w:cs="宋体"/>
          <w:sz w:val="24"/>
          <w:szCs w:val="20"/>
        </w:rPr>
      </w:pPr>
      <w:r>
        <w:rPr>
          <w:rFonts w:hint="eastAsia" w:ascii="宋体" w:hAnsi="宋体" w:cs="宋体"/>
          <w:sz w:val="24"/>
          <w:szCs w:val="20"/>
        </w:rPr>
        <w:t>人体解剖实训室配备投影设备、黑</w:t>
      </w:r>
      <w:r>
        <w:rPr>
          <w:rFonts w:ascii="宋体" w:hAnsi="宋体" w:cs="宋体"/>
          <w:sz w:val="24"/>
          <w:szCs w:val="20"/>
        </w:rPr>
        <w:t>(</w:t>
      </w:r>
      <w:r>
        <w:rPr>
          <w:rFonts w:hint="eastAsia" w:ascii="宋体" w:hAnsi="宋体" w:cs="宋体"/>
          <w:sz w:val="24"/>
          <w:szCs w:val="20"/>
        </w:rPr>
        <w:t>白</w:t>
      </w:r>
      <w:r>
        <w:rPr>
          <w:rFonts w:ascii="宋体" w:hAnsi="宋体" w:cs="宋体"/>
          <w:sz w:val="24"/>
          <w:szCs w:val="20"/>
        </w:rPr>
        <w:t>)</w:t>
      </w:r>
      <w:r>
        <w:rPr>
          <w:rFonts w:hint="eastAsia" w:ascii="宋体" w:hAnsi="宋体" w:cs="宋体"/>
          <w:sz w:val="24"/>
          <w:szCs w:val="20"/>
        </w:rPr>
        <w:t>板、计算机、解剖模型、人体标本、系列挂图等；用于人体解剖学等课程的教学与实训。</w:t>
      </w:r>
    </w:p>
    <w:p>
      <w:pPr>
        <w:spacing w:line="360" w:lineRule="auto"/>
        <w:ind w:firstLine="480" w:firstLineChars="200"/>
        <w:jc w:val="left"/>
        <w:rPr>
          <w:rFonts w:ascii="宋体" w:hAnsi="宋体" w:cs="宋体"/>
          <w:sz w:val="24"/>
          <w:szCs w:val="20"/>
        </w:rPr>
      </w:pPr>
      <w:r>
        <w:rPr>
          <w:rFonts w:ascii="宋体" w:hAnsi="宋体" w:cs="宋体"/>
          <w:sz w:val="24"/>
          <w:szCs w:val="20"/>
        </w:rPr>
        <w:t>(2)</w:t>
      </w:r>
      <w:r>
        <w:rPr>
          <w:rFonts w:hint="eastAsia" w:ascii="宋体" w:hAnsi="宋体" w:cs="宋体"/>
          <w:sz w:val="24"/>
          <w:szCs w:val="20"/>
        </w:rPr>
        <w:t>“三理”机能实验室。</w:t>
      </w:r>
    </w:p>
    <w:p>
      <w:pPr>
        <w:spacing w:line="360" w:lineRule="auto"/>
        <w:ind w:firstLine="480" w:firstLineChars="200"/>
        <w:jc w:val="left"/>
        <w:rPr>
          <w:rFonts w:ascii="宋体" w:hAnsi="宋体" w:cs="宋体"/>
          <w:sz w:val="24"/>
          <w:szCs w:val="20"/>
        </w:rPr>
      </w:pPr>
      <w:r>
        <w:rPr>
          <w:rFonts w:hint="eastAsia" w:ascii="宋体" w:hAnsi="宋体" w:cs="宋体"/>
          <w:sz w:val="24"/>
          <w:szCs w:val="20"/>
        </w:rPr>
        <w:t>“三理”机能实验室应配备投影设备、动物实验操作台、动物实验常用试剂和器械、</w:t>
      </w:r>
      <w:r>
        <w:rPr>
          <w:rFonts w:ascii="宋体" w:hAnsi="宋体" w:cs="宋体"/>
          <w:sz w:val="24"/>
          <w:szCs w:val="20"/>
        </w:rPr>
        <w:t>Plab</w:t>
      </w:r>
      <w:r>
        <w:rPr>
          <w:rFonts w:hint="eastAsia" w:ascii="宋体" w:hAnsi="宋体" w:cs="宋体"/>
          <w:sz w:val="24"/>
          <w:szCs w:val="20"/>
        </w:rPr>
        <w:t>生物信号采集系统、机能学虚拟实验系统等设备；用于生理学、病理学、药理学等课程的教学与实验。</w:t>
      </w:r>
    </w:p>
    <w:p>
      <w:pPr>
        <w:spacing w:line="360" w:lineRule="auto"/>
        <w:ind w:firstLine="480" w:firstLineChars="200"/>
        <w:jc w:val="left"/>
        <w:rPr>
          <w:rFonts w:ascii="宋体" w:hAnsi="宋体" w:cs="宋体"/>
          <w:sz w:val="24"/>
          <w:szCs w:val="20"/>
        </w:rPr>
      </w:pPr>
      <w:r>
        <w:rPr>
          <w:rFonts w:ascii="宋体" w:hAnsi="宋体" w:cs="宋体"/>
          <w:sz w:val="24"/>
          <w:szCs w:val="20"/>
        </w:rPr>
        <w:t>(3)</w:t>
      </w:r>
      <w:r>
        <w:rPr>
          <w:rFonts w:hint="eastAsia" w:ascii="宋体" w:hAnsi="宋体" w:cs="宋体"/>
          <w:sz w:val="24"/>
          <w:szCs w:val="20"/>
        </w:rPr>
        <w:t>中医舌象实训室</w:t>
      </w:r>
    </w:p>
    <w:p>
      <w:pPr>
        <w:spacing w:line="360" w:lineRule="auto"/>
        <w:ind w:firstLine="480" w:firstLineChars="200"/>
        <w:jc w:val="left"/>
        <w:rPr>
          <w:rFonts w:ascii="宋体" w:hAnsi="宋体" w:cs="宋体"/>
          <w:sz w:val="24"/>
          <w:szCs w:val="20"/>
        </w:rPr>
      </w:pPr>
      <w:r>
        <w:rPr>
          <w:rFonts w:hint="eastAsia" w:ascii="宋体" w:hAnsi="宋体" w:cs="宋体"/>
          <w:sz w:val="24"/>
          <w:szCs w:val="20"/>
        </w:rPr>
        <w:t>中医舌象实训室应配备投影设备、黑</w:t>
      </w:r>
      <w:r>
        <w:rPr>
          <w:rFonts w:ascii="宋体" w:hAnsi="宋体" w:cs="宋体"/>
          <w:sz w:val="24"/>
          <w:szCs w:val="20"/>
        </w:rPr>
        <w:t>(</w:t>
      </w:r>
      <w:r>
        <w:rPr>
          <w:rFonts w:hint="eastAsia" w:ascii="宋体" w:hAnsi="宋体" w:cs="宋体"/>
          <w:sz w:val="24"/>
          <w:szCs w:val="20"/>
        </w:rPr>
        <w:t>白</w:t>
      </w:r>
      <w:r>
        <w:rPr>
          <w:rFonts w:ascii="宋体" w:hAnsi="宋体" w:cs="宋体"/>
          <w:sz w:val="24"/>
          <w:szCs w:val="20"/>
        </w:rPr>
        <w:t>)</w:t>
      </w:r>
      <w:r>
        <w:rPr>
          <w:rFonts w:hint="eastAsia" w:ascii="宋体" w:hAnsi="宋体" w:cs="宋体"/>
          <w:sz w:val="24"/>
          <w:szCs w:val="20"/>
        </w:rPr>
        <w:t>板、计算机、中医舌诊系统等；用于中医诊断学等课程的教学与实训。</w:t>
      </w:r>
    </w:p>
    <w:p>
      <w:pPr>
        <w:spacing w:line="360" w:lineRule="auto"/>
        <w:ind w:firstLine="480" w:firstLineChars="200"/>
        <w:jc w:val="left"/>
        <w:rPr>
          <w:rFonts w:ascii="宋体" w:hAnsi="宋体" w:cs="宋体"/>
          <w:sz w:val="24"/>
          <w:szCs w:val="20"/>
        </w:rPr>
      </w:pPr>
      <w:r>
        <w:rPr>
          <w:rFonts w:ascii="宋体" w:hAnsi="宋体" w:cs="宋体"/>
          <w:sz w:val="24"/>
          <w:szCs w:val="20"/>
        </w:rPr>
        <w:t>(4)</w:t>
      </w:r>
      <w:r>
        <w:rPr>
          <w:rFonts w:hint="eastAsia" w:ascii="宋体" w:hAnsi="宋体" w:cs="宋体"/>
          <w:sz w:val="24"/>
          <w:szCs w:val="20"/>
        </w:rPr>
        <w:t>中医脉象实训室</w:t>
      </w:r>
    </w:p>
    <w:p>
      <w:pPr>
        <w:spacing w:line="360" w:lineRule="auto"/>
        <w:ind w:firstLine="480" w:firstLineChars="200"/>
        <w:jc w:val="left"/>
        <w:rPr>
          <w:rFonts w:ascii="宋体" w:hAnsi="宋体" w:cs="宋体"/>
          <w:sz w:val="24"/>
          <w:szCs w:val="20"/>
        </w:rPr>
      </w:pPr>
      <w:r>
        <w:rPr>
          <w:rFonts w:hint="eastAsia" w:ascii="宋体" w:hAnsi="宋体" w:cs="宋体"/>
          <w:sz w:val="24"/>
          <w:szCs w:val="20"/>
        </w:rPr>
        <w:t>中医脉象实训室应配备投影设备、黑</w:t>
      </w:r>
      <w:r>
        <w:rPr>
          <w:rFonts w:ascii="宋体" w:hAnsi="宋体" w:cs="宋体"/>
          <w:sz w:val="24"/>
          <w:szCs w:val="20"/>
        </w:rPr>
        <w:t>(</w:t>
      </w:r>
      <w:r>
        <w:rPr>
          <w:rFonts w:hint="eastAsia" w:ascii="宋体" w:hAnsi="宋体" w:cs="宋体"/>
          <w:sz w:val="24"/>
          <w:szCs w:val="20"/>
        </w:rPr>
        <w:t>白</w:t>
      </w:r>
      <w:r>
        <w:rPr>
          <w:rFonts w:ascii="宋体" w:hAnsi="宋体" w:cs="宋体"/>
          <w:sz w:val="24"/>
          <w:szCs w:val="20"/>
        </w:rPr>
        <w:t>)</w:t>
      </w:r>
      <w:r>
        <w:rPr>
          <w:rFonts w:hint="eastAsia" w:ascii="宋体" w:hAnsi="宋体" w:cs="宋体"/>
          <w:sz w:val="24"/>
          <w:szCs w:val="20"/>
        </w:rPr>
        <w:t>板、计算机、中医脉象模拟系统等；用于中医诊断学等课程的教学与实训。</w:t>
      </w:r>
    </w:p>
    <w:p>
      <w:pPr>
        <w:spacing w:line="360" w:lineRule="auto"/>
        <w:ind w:firstLine="480" w:firstLineChars="200"/>
        <w:jc w:val="left"/>
        <w:rPr>
          <w:rFonts w:ascii="宋体" w:hAnsi="宋体" w:cs="宋体"/>
          <w:sz w:val="24"/>
          <w:szCs w:val="20"/>
        </w:rPr>
      </w:pPr>
      <w:r>
        <w:rPr>
          <w:rFonts w:ascii="宋体" w:hAnsi="宋体" w:cs="宋体"/>
          <w:sz w:val="24"/>
          <w:szCs w:val="20"/>
        </w:rPr>
        <w:t>(5)</w:t>
      </w:r>
      <w:r>
        <w:rPr>
          <w:rFonts w:hint="eastAsia" w:ascii="宋体" w:hAnsi="宋体" w:cs="宋体"/>
          <w:sz w:val="24"/>
          <w:szCs w:val="20"/>
        </w:rPr>
        <w:t>中药标本馆</w:t>
      </w:r>
    </w:p>
    <w:p>
      <w:pPr>
        <w:spacing w:line="360" w:lineRule="auto"/>
        <w:ind w:firstLine="480" w:firstLineChars="200"/>
        <w:jc w:val="left"/>
        <w:rPr>
          <w:rFonts w:ascii="宋体" w:hAnsi="宋体" w:cs="宋体"/>
          <w:sz w:val="24"/>
          <w:szCs w:val="20"/>
        </w:rPr>
      </w:pPr>
      <w:r>
        <w:rPr>
          <w:rFonts w:hint="eastAsia" w:ascii="宋体" w:hAnsi="宋体" w:cs="宋体"/>
          <w:sz w:val="24"/>
          <w:szCs w:val="20"/>
        </w:rPr>
        <w:t>中药标本馆应配备中药生药标本、中药饮片标本、标本柜等；用于中药学、方剂学等课程的教学与实训。</w:t>
      </w:r>
    </w:p>
    <w:p>
      <w:pPr>
        <w:spacing w:line="360" w:lineRule="auto"/>
        <w:ind w:firstLine="480" w:firstLineChars="200"/>
        <w:jc w:val="left"/>
        <w:rPr>
          <w:rFonts w:ascii="宋体" w:hAnsi="宋体" w:cs="宋体"/>
          <w:sz w:val="24"/>
          <w:szCs w:val="20"/>
        </w:rPr>
      </w:pPr>
      <w:r>
        <w:rPr>
          <w:rFonts w:ascii="宋体" w:hAnsi="宋体" w:cs="宋体"/>
          <w:sz w:val="24"/>
          <w:szCs w:val="20"/>
        </w:rPr>
        <w:t>(6)</w:t>
      </w:r>
      <w:r>
        <w:rPr>
          <w:rFonts w:hint="eastAsia" w:ascii="宋体" w:hAnsi="宋体" w:cs="宋体"/>
          <w:sz w:val="24"/>
          <w:szCs w:val="20"/>
        </w:rPr>
        <w:t>中医技能实训室</w:t>
      </w:r>
    </w:p>
    <w:p>
      <w:pPr>
        <w:spacing w:line="360" w:lineRule="auto"/>
        <w:ind w:firstLine="480" w:firstLineChars="200"/>
        <w:jc w:val="left"/>
        <w:rPr>
          <w:rFonts w:ascii="宋体" w:hAnsi="宋体" w:cs="宋体"/>
          <w:sz w:val="24"/>
          <w:szCs w:val="20"/>
        </w:rPr>
      </w:pPr>
      <w:r>
        <w:rPr>
          <w:rFonts w:hint="eastAsia" w:ascii="宋体" w:hAnsi="宋体" w:cs="宋体"/>
          <w:sz w:val="24"/>
          <w:szCs w:val="20"/>
        </w:rPr>
        <w:t>诊断实训室应配备投影设备、黑</w:t>
      </w:r>
      <w:r>
        <w:rPr>
          <w:rFonts w:ascii="宋体" w:hAnsi="宋体" w:cs="宋体"/>
          <w:sz w:val="24"/>
          <w:szCs w:val="20"/>
        </w:rPr>
        <w:t>(</w:t>
      </w:r>
      <w:r>
        <w:rPr>
          <w:rFonts w:hint="eastAsia" w:ascii="宋体" w:hAnsi="宋体" w:cs="宋体"/>
          <w:sz w:val="24"/>
          <w:szCs w:val="20"/>
        </w:rPr>
        <w:t>白</w:t>
      </w:r>
      <w:r>
        <w:rPr>
          <w:rFonts w:ascii="宋体" w:hAnsi="宋体" w:cs="宋体"/>
          <w:sz w:val="24"/>
          <w:szCs w:val="20"/>
        </w:rPr>
        <w:t>)</w:t>
      </w:r>
      <w:r>
        <w:rPr>
          <w:rFonts w:hint="eastAsia" w:ascii="宋体" w:hAnsi="宋体" w:cs="宋体"/>
          <w:sz w:val="24"/>
          <w:szCs w:val="20"/>
        </w:rPr>
        <w:t>板、计算机、心肺听诊和腹部触诊模拟人</w:t>
      </w:r>
      <w:r>
        <w:rPr>
          <w:rFonts w:ascii="宋体" w:hAnsi="宋体" w:cs="宋体"/>
          <w:sz w:val="24"/>
          <w:szCs w:val="20"/>
        </w:rPr>
        <w:t>,</w:t>
      </w:r>
      <w:r>
        <w:rPr>
          <w:rFonts w:hint="eastAsia" w:ascii="宋体" w:hAnsi="宋体" w:cs="宋体"/>
          <w:sz w:val="24"/>
          <w:szCs w:val="20"/>
        </w:rPr>
        <w:t>安装心肺听诊和腹部触诊系统软件；用于诊断学基础等课程的教学与实训。</w:t>
      </w:r>
    </w:p>
    <w:p>
      <w:pPr>
        <w:spacing w:line="360" w:lineRule="auto"/>
        <w:ind w:firstLine="480" w:firstLineChars="200"/>
        <w:jc w:val="left"/>
        <w:rPr>
          <w:rFonts w:ascii="宋体" w:hAnsi="宋体" w:cs="宋体"/>
          <w:sz w:val="24"/>
          <w:szCs w:val="20"/>
        </w:rPr>
      </w:pPr>
      <w:r>
        <w:rPr>
          <w:rFonts w:ascii="宋体" w:hAnsi="宋体" w:cs="宋体"/>
          <w:sz w:val="24"/>
          <w:szCs w:val="20"/>
        </w:rPr>
        <w:t>(7)</w:t>
      </w:r>
      <w:r>
        <w:rPr>
          <w:rFonts w:hint="eastAsia" w:ascii="宋体" w:hAnsi="宋体" w:cs="宋体"/>
          <w:sz w:val="24"/>
          <w:szCs w:val="20"/>
        </w:rPr>
        <w:t>中医急救实训室</w:t>
      </w:r>
    </w:p>
    <w:p>
      <w:pPr>
        <w:spacing w:line="360" w:lineRule="auto"/>
        <w:ind w:firstLine="480" w:firstLineChars="200"/>
        <w:jc w:val="left"/>
        <w:rPr>
          <w:rFonts w:ascii="宋体" w:hAnsi="宋体" w:cs="宋体"/>
          <w:sz w:val="24"/>
          <w:szCs w:val="20"/>
        </w:rPr>
      </w:pPr>
      <w:r>
        <w:rPr>
          <w:rFonts w:hint="eastAsia" w:ascii="宋体" w:hAnsi="宋体" w:cs="宋体"/>
          <w:sz w:val="24"/>
          <w:szCs w:val="20"/>
        </w:rPr>
        <w:t>急救实训室应配备投影设备、黑</w:t>
      </w:r>
      <w:r>
        <w:rPr>
          <w:rFonts w:ascii="宋体" w:hAnsi="宋体" w:cs="宋体"/>
          <w:sz w:val="24"/>
          <w:szCs w:val="20"/>
        </w:rPr>
        <w:t>(</w:t>
      </w:r>
      <w:r>
        <w:rPr>
          <w:rFonts w:hint="eastAsia" w:ascii="宋体" w:hAnsi="宋体" w:cs="宋体"/>
          <w:sz w:val="24"/>
          <w:szCs w:val="20"/>
        </w:rPr>
        <w:t>白</w:t>
      </w:r>
      <w:r>
        <w:rPr>
          <w:rFonts w:ascii="宋体" w:hAnsi="宋体" w:cs="宋体"/>
          <w:sz w:val="24"/>
          <w:szCs w:val="20"/>
        </w:rPr>
        <w:t>)</w:t>
      </w:r>
      <w:r>
        <w:rPr>
          <w:rFonts w:hint="eastAsia" w:ascii="宋体" w:hAnsi="宋体" w:cs="宋体"/>
          <w:sz w:val="24"/>
          <w:szCs w:val="20"/>
        </w:rPr>
        <w:t>板、计算机、多功能综合急救模拟人</w:t>
      </w:r>
      <w:r>
        <w:rPr>
          <w:rFonts w:ascii="宋体" w:hAnsi="宋体" w:cs="宋体"/>
          <w:sz w:val="24"/>
          <w:szCs w:val="20"/>
        </w:rPr>
        <w:t>,</w:t>
      </w:r>
      <w:r>
        <w:rPr>
          <w:rFonts w:hint="eastAsia" w:ascii="宋体" w:hAnsi="宋体" w:cs="宋体"/>
          <w:sz w:val="24"/>
          <w:szCs w:val="20"/>
        </w:rPr>
        <w:t>安装急救技能训练系统软件</w:t>
      </w:r>
      <w:r>
        <w:rPr>
          <w:rFonts w:ascii="宋体" w:hAnsi="宋体" w:cs="宋体"/>
          <w:sz w:val="24"/>
          <w:szCs w:val="20"/>
        </w:rPr>
        <w:t>;</w:t>
      </w:r>
      <w:r>
        <w:rPr>
          <w:rFonts w:hint="eastAsia" w:ascii="宋体" w:hAnsi="宋体" w:cs="宋体"/>
          <w:sz w:val="24"/>
          <w:szCs w:val="20"/>
        </w:rPr>
        <w:t>用于急救医学等课程的教学与实训。</w:t>
      </w:r>
    </w:p>
    <w:p>
      <w:pPr>
        <w:widowControl/>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3.校外实训基地基本要求</w:t>
      </w:r>
    </w:p>
    <w:p>
      <w:pPr>
        <w:widowControl/>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具有稳定的校外实训基地；能够开展中医学专业相关等实训活动，实训设施齐备，实训岗位、实训指导教师确定，实训管理及实施规章制度齐全。</w:t>
      </w:r>
    </w:p>
    <w:p>
      <w:pPr>
        <w:widowControl/>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4.学生实习基地基本要求</w:t>
      </w:r>
    </w:p>
    <w:p>
      <w:pPr>
        <w:widowControl/>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具有稳定的校外实习基地；校外实习基地原则上应是二级甲等及以上医院，能提供中医学专业相关实习岗位，能涵盖当前相关专业发展的主流技术，可接纳一定规模的学生实习；能够配备相应数量的指导教师对学生实习进行指导和管理；有保证实习生日常工作、学习、生活的规章制度，有安全、保险保障。</w:t>
      </w:r>
    </w:p>
    <w:p>
      <w:pPr>
        <w:widowControl/>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5.支持信息化教学方面的基本要求</w:t>
      </w:r>
    </w:p>
    <w:p>
      <w:pPr>
        <w:widowControl/>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具有可利用的数字化教学资源库、文献资料、常见问题解答等信息化条件；鼓励教师开发并利用信息化教学资源、教学平台，创新教学方法，引导学生利用信息化教学条件自主学习，提升教学效果。</w:t>
      </w:r>
    </w:p>
    <w:p>
      <w:pPr>
        <w:spacing w:line="360" w:lineRule="auto"/>
        <w:ind w:firstLine="240" w:firstLineChars="100"/>
        <w:outlineLvl w:val="1"/>
        <w:rPr>
          <w:rFonts w:hint="eastAsia" w:eastAsia="方正仿宋简体"/>
          <w:b w:val="0"/>
          <w:bCs w:val="0"/>
          <w:color w:val="000000"/>
          <w:sz w:val="24"/>
          <w:szCs w:val="21"/>
        </w:rPr>
      </w:pPr>
      <w:bookmarkStart w:id="48" w:name="_Toc2625"/>
      <w:bookmarkStart w:id="49" w:name="_Toc19275"/>
      <w:bookmarkStart w:id="50" w:name="_Toc53692863"/>
      <w:bookmarkStart w:id="51" w:name="_Hlk52052994"/>
      <w:r>
        <w:rPr>
          <w:rFonts w:hint="eastAsia" w:eastAsia="方正仿宋简体"/>
          <w:b w:val="0"/>
          <w:bCs w:val="0"/>
          <w:color w:val="000000"/>
          <w:sz w:val="24"/>
          <w:szCs w:val="21"/>
        </w:rPr>
        <w:t>（三）教学资源</w:t>
      </w:r>
      <w:bookmarkEnd w:id="48"/>
      <w:bookmarkEnd w:id="49"/>
      <w:bookmarkEnd w:id="50"/>
    </w:p>
    <w:bookmarkEnd w:id="51"/>
    <w:p>
      <w:pPr>
        <w:spacing w:line="360" w:lineRule="auto"/>
        <w:ind w:firstLine="420"/>
        <w:rPr>
          <w:rFonts w:hint="eastAsia" w:ascii="宋体" w:hAnsi="宋体" w:cs="华文仿宋"/>
          <w:color w:val="000000"/>
          <w:sz w:val="24"/>
        </w:rPr>
      </w:pPr>
      <w:r>
        <w:rPr>
          <w:rFonts w:hint="eastAsia" w:ascii="宋体" w:hAnsi="宋体" w:cs="华文仿宋"/>
          <w:color w:val="000000"/>
          <w:sz w:val="24"/>
        </w:rPr>
        <w:t>1.教材选用基本要求</w:t>
      </w:r>
    </w:p>
    <w:p>
      <w:pPr>
        <w:spacing w:line="360" w:lineRule="auto"/>
        <w:ind w:firstLine="420"/>
        <w:rPr>
          <w:rFonts w:hint="eastAsia" w:ascii="宋体" w:hAnsi="宋体" w:cs="华文仿宋"/>
          <w:color w:val="000000"/>
          <w:sz w:val="24"/>
        </w:rPr>
      </w:pPr>
      <w:r>
        <w:rPr>
          <w:rFonts w:hint="eastAsia" w:ascii="宋体" w:hAnsi="宋体" w:cs="华文仿宋"/>
          <w:color w:val="000000"/>
          <w:sz w:val="24"/>
        </w:rPr>
        <w:t>按照国家规定选用优质教材，禁止不合格的教材进入课堂。学校应建立专业教师、行业专家和教研人员等参与的教材选用机构，完善教材选用制度，经过规范程序择优选用教材。</w:t>
      </w:r>
    </w:p>
    <w:p>
      <w:pPr>
        <w:spacing w:line="360" w:lineRule="auto"/>
        <w:ind w:firstLine="420"/>
        <w:rPr>
          <w:rFonts w:hint="eastAsia" w:ascii="宋体" w:hAnsi="宋体" w:cs="华文仿宋"/>
          <w:color w:val="000000"/>
          <w:sz w:val="24"/>
        </w:rPr>
      </w:pPr>
      <w:r>
        <w:rPr>
          <w:rFonts w:hint="eastAsia" w:ascii="宋体" w:hAnsi="宋体" w:cs="华文仿宋"/>
          <w:color w:val="000000"/>
          <w:sz w:val="24"/>
        </w:rPr>
        <w:t>2.图书文献配备基本要求</w:t>
      </w:r>
    </w:p>
    <w:p>
      <w:pPr>
        <w:spacing w:line="360" w:lineRule="auto"/>
        <w:ind w:firstLine="420"/>
        <w:rPr>
          <w:rFonts w:hint="eastAsia" w:ascii="宋体" w:hAnsi="宋体" w:cs="华文仿宋"/>
          <w:color w:val="000000"/>
          <w:sz w:val="24"/>
        </w:rPr>
      </w:pPr>
      <w:r>
        <w:rPr>
          <w:rFonts w:hint="eastAsia" w:ascii="宋体" w:hAnsi="宋体" w:cs="华文仿宋"/>
          <w:color w:val="000000"/>
          <w:sz w:val="24"/>
        </w:rPr>
        <w:t>图书文献配备能满足人才培养、专业建设、教科研等工作的需要，方便师生查询、借阅。专业类图书文献主要包括：相关政策法规、职业标准；各类中医药图书资源和专业期刊文献等。</w:t>
      </w:r>
    </w:p>
    <w:p>
      <w:pPr>
        <w:spacing w:line="360" w:lineRule="auto"/>
        <w:ind w:firstLine="420"/>
        <w:rPr>
          <w:rFonts w:hint="eastAsia" w:ascii="宋体" w:hAnsi="宋体" w:cs="华文仿宋"/>
          <w:color w:val="000000"/>
          <w:sz w:val="24"/>
        </w:rPr>
      </w:pPr>
      <w:r>
        <w:rPr>
          <w:rFonts w:hint="eastAsia" w:ascii="宋体" w:hAnsi="宋体" w:cs="华文仿宋"/>
          <w:color w:val="000000"/>
          <w:sz w:val="24"/>
        </w:rPr>
        <w:t>3.数字教学资源配置基本要求</w:t>
      </w:r>
    </w:p>
    <w:p>
      <w:pPr>
        <w:spacing w:line="360" w:lineRule="auto"/>
        <w:ind w:firstLine="420"/>
        <w:rPr>
          <w:rFonts w:hint="eastAsia" w:ascii="宋体" w:hAnsi="宋体" w:cs="华文仿宋"/>
          <w:color w:val="000000"/>
          <w:sz w:val="24"/>
        </w:rPr>
      </w:pPr>
      <w:r>
        <w:rPr>
          <w:rFonts w:hint="eastAsia" w:ascii="宋体" w:hAnsi="宋体" w:cs="华文仿宋"/>
          <w:color w:val="000000"/>
          <w:sz w:val="24"/>
        </w:rPr>
        <w:t>建设、配备与本专业有关的音视频素材、教学课件、数字化教学案例库、虚拟仿真软件、数字教材等专业教学资源库，应种类丰富、形式多样、使用便捷、动态更新，能满足教学要求。</w:t>
      </w:r>
    </w:p>
    <w:p>
      <w:pPr>
        <w:spacing w:line="360" w:lineRule="auto"/>
        <w:ind w:firstLine="482" w:firstLineChars="200"/>
        <w:rPr>
          <w:rFonts w:hint="eastAsia" w:ascii="宋体" w:hAnsi="宋体" w:cs="华文仿宋"/>
          <w:b/>
          <w:bCs/>
          <w:color w:val="000000"/>
          <w:sz w:val="24"/>
        </w:rPr>
      </w:pPr>
      <w:bookmarkStart w:id="52" w:name="_GoBack"/>
      <w:bookmarkEnd w:id="52"/>
      <w:r>
        <w:rPr>
          <w:rFonts w:hint="eastAsia" w:ascii="宋体" w:hAnsi="宋体" w:cs="华文仿宋"/>
          <w:b/>
          <w:bCs/>
          <w:color w:val="000000"/>
          <w:sz w:val="24"/>
        </w:rPr>
        <w:t xml:space="preserve">九、质量保障 </w:t>
      </w:r>
    </w:p>
    <w:p>
      <w:pPr>
        <w:spacing w:line="360" w:lineRule="auto"/>
        <w:ind w:firstLine="420"/>
        <w:rPr>
          <w:rFonts w:hint="eastAsia" w:ascii="宋体" w:hAnsi="宋体" w:cs="华文仿宋"/>
          <w:color w:val="000000"/>
          <w:sz w:val="24"/>
        </w:rPr>
      </w:pPr>
      <w:r>
        <w:rPr>
          <w:rFonts w:hint="eastAsia" w:ascii="宋体" w:hAnsi="宋体" w:cs="华文仿宋"/>
          <w:color w:val="000000"/>
          <w:sz w:val="24"/>
        </w:rPr>
        <w:t>（一）学校和二级院系应建立专业建设和教学过程质量监控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spacing w:line="360" w:lineRule="auto"/>
        <w:ind w:firstLine="420"/>
        <w:rPr>
          <w:rFonts w:hint="eastAsia" w:ascii="宋体" w:hAnsi="宋体" w:cs="华文仿宋"/>
          <w:color w:val="000000"/>
          <w:sz w:val="24"/>
        </w:rPr>
      </w:pPr>
      <w:r>
        <w:rPr>
          <w:rFonts w:hint="eastAsia" w:ascii="宋体" w:hAnsi="宋体" w:cs="华文仿宋"/>
          <w:color w:val="000000"/>
          <w:sz w:val="24"/>
        </w:rPr>
        <w:t>（二）学校和二级院系及专业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spacing w:line="360" w:lineRule="auto"/>
        <w:ind w:firstLine="420"/>
        <w:rPr>
          <w:rFonts w:hint="eastAsia" w:ascii="宋体" w:hAnsi="宋体" w:cs="华文仿宋"/>
          <w:color w:val="000000"/>
          <w:sz w:val="24"/>
        </w:rPr>
      </w:pPr>
      <w:r>
        <w:rPr>
          <w:rFonts w:hint="eastAsia" w:ascii="宋体" w:hAnsi="宋体" w:cs="华文仿宋"/>
          <w:color w:val="000000"/>
          <w:sz w:val="24"/>
        </w:rPr>
        <w:t>（三）学校应建立毕业生跟踪反馈机制及社会评价机制，并对生源情况、在校生学业水平、毕业生就业情况等进行分析，定期评价人才培养质量和培养目标达成情况。</w:t>
      </w:r>
    </w:p>
    <w:p>
      <w:pPr>
        <w:spacing w:line="360" w:lineRule="auto"/>
        <w:ind w:firstLine="420"/>
        <w:rPr>
          <w:rFonts w:hint="eastAsia" w:ascii="宋体" w:hAnsi="宋体" w:cs="华文仿宋"/>
          <w:color w:val="000000"/>
          <w:sz w:val="24"/>
        </w:rPr>
      </w:pPr>
      <w:r>
        <w:rPr>
          <w:rFonts w:hint="eastAsia" w:ascii="宋体" w:hAnsi="宋体" w:cs="华文仿宋"/>
          <w:color w:val="000000"/>
          <w:sz w:val="24"/>
        </w:rPr>
        <w:t>（四）专业教研组织应充分利用评价分析结果有效改进专业教学，持续提高人才培养质量。</w:t>
      </w:r>
    </w:p>
    <w:p>
      <w:pPr>
        <w:numPr>
          <w:numId w:val="0"/>
        </w:numPr>
        <w:spacing w:line="360" w:lineRule="auto"/>
        <w:jc w:val="left"/>
        <w:rPr>
          <w:rFonts w:hint="default"/>
          <w:lang w:val="en-US" w:eastAsia="zh-CN"/>
        </w:rPr>
      </w:pPr>
    </w:p>
    <w:p>
      <w:pPr>
        <w:pStyle w:val="2"/>
      </w:pPr>
    </w:p>
    <w:p>
      <w:pPr>
        <w:pStyle w:val="2"/>
        <w:numPr>
          <w:numId w:val="0"/>
        </w:num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方正仿宋简体">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75E62F"/>
    <w:multiLevelType w:val="singleLevel"/>
    <w:tmpl w:val="5A75E62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2ZDNlN2I5YjBkNjIyZmYxYThlMDQ0MDExN2FkNzcifQ=="/>
  </w:docVars>
  <w:rsids>
    <w:rsidRoot w:val="204D480A"/>
    <w:rsid w:val="204D480A"/>
    <w:rsid w:val="3EFC2C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pPr>
    <w:rPr>
      <w:rFonts w:ascii="Cambria" w:hAnsi="Cambria"/>
      <w:sz w:val="28"/>
      <w:szCs w:val="28"/>
    </w:rPr>
  </w:style>
  <w:style w:type="paragraph" w:styleId="3">
    <w:name w:val="footer"/>
    <w:basedOn w:val="1"/>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character" w:styleId="7">
    <w:name w:val="annotation reference"/>
    <w:qFormat/>
    <w:uiPriority w:val="0"/>
    <w:rPr>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6422</Words>
  <Characters>6539</Characters>
  <Lines>0</Lines>
  <Paragraphs>0</Paragraphs>
  <TotalTime>3</TotalTime>
  <ScaleCrop>false</ScaleCrop>
  <LinksUpToDate>false</LinksUpToDate>
  <CharactersWithSpaces>6588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2023-06-27T13:34:00Z</dcterms:created>
  <dc:creator>庄庄</dc:creator>
  <cp:lastModifiedBy>庄庄</cp:lastModifiedBy>
  <dcterms:modified xsi:type="dcterms:W3CDTF">2023-06-27T14:22:04Z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1BAF0909DD6F4703B1802774038B9FB4_11</vt:lpwstr>
  </property>
</Properties>
</file>